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405B08" w14:textId="661B4538" w:rsidR="0036292E" w:rsidRPr="00AC1A16" w:rsidRDefault="00ED671A" w:rsidP="00FB7CC5">
      <w:pPr>
        <w:pStyle w:val="BATitle"/>
      </w:pPr>
      <w:r w:rsidRPr="00ED671A">
        <w:t>Wood fireproofing coatings based on biobased phenolic resins</w:t>
      </w:r>
    </w:p>
    <w:p w14:paraId="5CF12303" w14:textId="7B7A34C3" w:rsidR="00112E14" w:rsidRPr="00AC1A16" w:rsidRDefault="00112E14" w:rsidP="007B2AA8">
      <w:pPr>
        <w:pStyle w:val="BBAuthorName"/>
        <w:ind w:left="708" w:hanging="708"/>
        <w:rPr>
          <w:lang w:val="es-ES"/>
        </w:rPr>
      </w:pPr>
      <w:r w:rsidRPr="00AC1A16">
        <w:rPr>
          <w:lang w:val="es-ES"/>
        </w:rPr>
        <w:t>Pedro L. de Hoyos-Martínez</w:t>
      </w:r>
      <w:r w:rsidR="00FB3CAA" w:rsidRPr="00AC1A16">
        <w:rPr>
          <w:vertAlign w:val="superscript"/>
          <w:lang w:val="es-ES"/>
        </w:rPr>
        <w:t>a,b</w:t>
      </w:r>
      <w:r w:rsidRPr="00AC1A16">
        <w:rPr>
          <w:lang w:val="es-ES"/>
        </w:rPr>
        <w:t>,</w:t>
      </w:r>
      <w:r w:rsidR="006B34DB" w:rsidRPr="00AC1A16">
        <w:rPr>
          <w:lang w:val="es-ES"/>
        </w:rPr>
        <w:t xml:space="preserve"> Hamed Issaoui</w:t>
      </w:r>
      <w:r w:rsidR="00FB3CAA" w:rsidRPr="00AC1A16">
        <w:rPr>
          <w:vertAlign w:val="superscript"/>
          <w:lang w:val="es-ES"/>
        </w:rPr>
        <w:t>b</w:t>
      </w:r>
      <w:r w:rsidR="006B34DB" w:rsidRPr="00AC1A16">
        <w:rPr>
          <w:lang w:val="es-ES"/>
        </w:rPr>
        <w:t>,</w:t>
      </w:r>
      <w:r w:rsidRPr="00AC1A16">
        <w:rPr>
          <w:lang w:val="es-ES"/>
        </w:rPr>
        <w:t xml:space="preserve"> Rene Herrera</w:t>
      </w:r>
      <w:r w:rsidR="00FB3CAA" w:rsidRPr="00AC1A16">
        <w:rPr>
          <w:vertAlign w:val="superscript"/>
          <w:lang w:val="es-ES"/>
        </w:rPr>
        <w:t>a</w:t>
      </w:r>
      <w:r w:rsidRPr="00AC1A16">
        <w:rPr>
          <w:lang w:val="es-ES"/>
        </w:rPr>
        <w:t>, Jalel Labidi</w:t>
      </w:r>
      <w:r w:rsidR="00FB3CAA" w:rsidRPr="00AC1A16">
        <w:rPr>
          <w:vertAlign w:val="superscript"/>
          <w:lang w:val="es-ES"/>
        </w:rPr>
        <w:t>a</w:t>
      </w:r>
      <w:r w:rsidRPr="00AC1A16">
        <w:rPr>
          <w:lang w:val="es-ES"/>
        </w:rPr>
        <w:t>, Fatima Charrier-El Bouhtoury</w:t>
      </w:r>
      <w:r w:rsidR="00FB3CAA" w:rsidRPr="00AC1A16">
        <w:rPr>
          <w:vertAlign w:val="superscript"/>
          <w:lang w:val="es-ES"/>
        </w:rPr>
        <w:t>b</w:t>
      </w:r>
      <w:r w:rsidRPr="00AC1A16">
        <w:rPr>
          <w:vertAlign w:val="superscript"/>
          <w:lang w:val="es-ES"/>
        </w:rPr>
        <w:t>*</w:t>
      </w:r>
    </w:p>
    <w:p w14:paraId="29D91384" w14:textId="0C0F1FC7" w:rsidR="00112E14" w:rsidRPr="00AC1A16" w:rsidRDefault="00AE5EEF" w:rsidP="00FB7CC5">
      <w:pPr>
        <w:pStyle w:val="BCAuthorAddress"/>
      </w:pPr>
      <w:r w:rsidRPr="00AC1A16">
        <w:rPr>
          <w:vertAlign w:val="superscript"/>
        </w:rPr>
        <w:t>a</w:t>
      </w:r>
      <w:r w:rsidR="00112E14" w:rsidRPr="00AC1A16">
        <w:t xml:space="preserve"> Chemical and environmental engineering department, University of the Basque Country, Plaza Europa, 1, 20018, Donostia-San sebastián, Spain.</w:t>
      </w:r>
    </w:p>
    <w:p w14:paraId="4E8866A7" w14:textId="0F8B4515" w:rsidR="00AE5EEF" w:rsidRPr="00AC1A16" w:rsidRDefault="00AE5EEF" w:rsidP="00FB7CC5">
      <w:pPr>
        <w:pStyle w:val="BCAuthorAddress"/>
        <w:rPr>
          <w:lang w:val="fr-FR"/>
        </w:rPr>
      </w:pPr>
      <w:r w:rsidRPr="00AC1A16">
        <w:rPr>
          <w:vertAlign w:val="superscript"/>
          <w:lang w:val="fr-FR"/>
        </w:rPr>
        <w:t>b</w:t>
      </w:r>
      <w:r w:rsidR="00112E14" w:rsidRPr="00AC1A16">
        <w:rPr>
          <w:lang w:val="fr-FR"/>
        </w:rPr>
        <w:t xml:space="preserve"> </w:t>
      </w:r>
      <w:r w:rsidR="00112E14" w:rsidRPr="00AC1A16">
        <w:rPr>
          <w:vertAlign w:val="superscript"/>
          <w:lang w:val="fr-FR"/>
        </w:rPr>
        <w:t xml:space="preserve"> </w:t>
      </w:r>
      <w:r w:rsidR="00112E14" w:rsidRPr="00AC1A16">
        <w:rPr>
          <w:lang w:val="fr-FR"/>
        </w:rPr>
        <w:t>University of Pau and Pays de l’Adour,</w:t>
      </w:r>
      <w:r w:rsidRPr="00AC1A16">
        <w:rPr>
          <w:lang w:val="fr-FR"/>
        </w:rPr>
        <w:t xml:space="preserve"> E2S UPPA, CNRS,</w:t>
      </w:r>
      <w:r w:rsidR="00112E14" w:rsidRPr="00AC1A16">
        <w:rPr>
          <w:lang w:val="fr-FR"/>
        </w:rPr>
        <w:t xml:space="preserve"> IPREM, IUT des Pays de l’Adour, 371 Rue de Ruisseau, 40004 Mont de Marsan, Fr</w:t>
      </w:r>
      <w:r w:rsidRPr="00AC1A16">
        <w:rPr>
          <w:lang w:val="fr-FR"/>
        </w:rPr>
        <w:t>ance.</w:t>
      </w:r>
    </w:p>
    <w:p w14:paraId="45A7696D" w14:textId="77777777" w:rsidR="00112E14" w:rsidRPr="00AC1A16" w:rsidRDefault="00112E14" w:rsidP="00FB7CC5">
      <w:pPr>
        <w:pStyle w:val="FACorrespondingAuthorFootnote"/>
        <w:rPr>
          <w:b/>
        </w:rPr>
      </w:pPr>
      <w:r w:rsidRPr="00AC1A16">
        <w:rPr>
          <w:b/>
        </w:rPr>
        <w:t xml:space="preserve">*Corresponding author: </w:t>
      </w:r>
      <w:r w:rsidRPr="00AC1A16">
        <w:t>Fatima Charrier-El Bouhtoury</w:t>
      </w:r>
      <w:r w:rsidR="0080225D" w:rsidRPr="00AC1A16">
        <w:t>,</w:t>
      </w:r>
      <w:r w:rsidRPr="00AC1A16">
        <w:t xml:space="preserve"> </w:t>
      </w:r>
      <w:hyperlink r:id="rId8" w:history="1">
        <w:r w:rsidRPr="00AC1A16">
          <w:rPr>
            <w:rStyle w:val="Hipervnculo"/>
            <w:rFonts w:ascii="Arial" w:hAnsi="Arial" w:cs="Arial"/>
            <w:color w:val="auto"/>
            <w:szCs w:val="24"/>
          </w:rPr>
          <w:t>fatima.charrier@univ-pau.fr</w:t>
        </w:r>
      </w:hyperlink>
    </w:p>
    <w:p w14:paraId="428442C1" w14:textId="1105FF04" w:rsidR="00112E14" w:rsidRPr="00AC1A16" w:rsidRDefault="00FF73F0" w:rsidP="00FB7CC5">
      <w:pPr>
        <w:pStyle w:val="BDAbstract"/>
      </w:pPr>
      <w:r w:rsidRPr="00692BE4">
        <w:t>ABSTRACT:</w:t>
      </w:r>
    </w:p>
    <w:p w14:paraId="6701BCE1" w14:textId="21039F9D" w:rsidR="00FE3D6E" w:rsidRPr="00EC26B1" w:rsidRDefault="00CB379F" w:rsidP="00FB7CC5">
      <w:pPr>
        <w:pStyle w:val="BDAbstract"/>
      </w:pPr>
      <w:r w:rsidRPr="00AC1A16">
        <w:t>Different formulations of</w:t>
      </w:r>
      <w:r w:rsidR="00004CCE">
        <w:t xml:space="preserve"> </w:t>
      </w:r>
      <w:r w:rsidRPr="00AC1A16">
        <w:t>phenolic resins based on</w:t>
      </w:r>
      <w:r w:rsidR="00004CCE">
        <w:t xml:space="preserve"> two</w:t>
      </w:r>
      <w:r w:rsidRPr="00AC1A16">
        <w:t xml:space="preserve"> natural products namely lignin and tannins</w:t>
      </w:r>
      <w:r w:rsidR="00004CCE">
        <w:t>, were implemented as biobased fireproofing coatings for wood</w:t>
      </w:r>
      <w:r w:rsidRPr="00AC1A16">
        <w:t>.</w:t>
      </w:r>
      <w:r w:rsidR="00526FD7" w:rsidRPr="00AC1A16">
        <w:t xml:space="preserve"> </w:t>
      </w:r>
      <w:r w:rsidR="00EC26B1">
        <w:t>Moreover</w:t>
      </w:r>
      <w:r w:rsidR="00526FD7" w:rsidRPr="00AC1A16">
        <w:t>, i</w:t>
      </w:r>
      <w:r w:rsidRPr="00AC1A16">
        <w:t xml:space="preserve">norganic nanoparticles were </w:t>
      </w:r>
      <w:r w:rsidR="00004CCE">
        <w:t>included as</w:t>
      </w:r>
      <w:r w:rsidRPr="00AC1A16">
        <w:t xml:space="preserve"> additives for improving the thermal resistance of the </w:t>
      </w:r>
      <w:r w:rsidR="00004CCE">
        <w:t>coatings</w:t>
      </w:r>
      <w:r w:rsidRPr="00AC1A16">
        <w:t>. The</w:t>
      </w:r>
      <w:r w:rsidR="00004CCE">
        <w:t xml:space="preserve"> biobased coatings</w:t>
      </w:r>
      <w:r w:rsidRPr="00AC1A16">
        <w:t xml:space="preserve"> formulations were</w:t>
      </w:r>
      <w:r w:rsidR="00004CCE">
        <w:t xml:space="preserve"> first</w:t>
      </w:r>
      <w:r w:rsidRPr="00AC1A16">
        <w:t xml:space="preserve"> characterized </w:t>
      </w:r>
      <w:r w:rsidR="005A18FE">
        <w:t>for their structure and thermal properties via FTIR and thermogravimetric analyses</w:t>
      </w:r>
      <w:r w:rsidR="00F754D4">
        <w:t xml:space="preserve"> (TGA)</w:t>
      </w:r>
      <w:r w:rsidR="00AE47AE">
        <w:t>.</w:t>
      </w:r>
      <w:r w:rsidRPr="00AC1A16">
        <w:t xml:space="preserve"> </w:t>
      </w:r>
      <w:r w:rsidR="00004CCE">
        <w:t>Then, their fireproofing performance was ass</w:t>
      </w:r>
      <w:r w:rsidR="00EC26B1">
        <w:t>es</w:t>
      </w:r>
      <w:r w:rsidR="00004CCE">
        <w:t>sed over a</w:t>
      </w:r>
      <w:r w:rsidR="00F754D4">
        <w:t xml:space="preserve"> softwood and a hardwood</w:t>
      </w:r>
      <w:r w:rsidR="00004CCE">
        <w:t xml:space="preserve"> species.</w:t>
      </w:r>
      <w:r w:rsidR="00010ED7" w:rsidRPr="00AC1A16">
        <w:t xml:space="preserve"> </w:t>
      </w:r>
      <w:r w:rsidR="005A78F1" w:rsidRPr="00AC1A16">
        <w:t>Various parameters were studied</w:t>
      </w:r>
      <w:r w:rsidR="00841815" w:rsidRPr="00AC1A16">
        <w:t xml:space="preserve"> </w:t>
      </w:r>
      <w:r w:rsidR="00EC26B1">
        <w:t>as</w:t>
      </w:r>
      <w:r w:rsidR="005A78F1" w:rsidRPr="00AC1A16">
        <w:t xml:space="preserve"> the heat released during combustion, the integrity</w:t>
      </w:r>
      <w:r w:rsidR="00926DF0" w:rsidRPr="00AC1A16">
        <w:t xml:space="preserve"> of the samples</w:t>
      </w:r>
      <w:r w:rsidR="00A44A60" w:rsidRPr="00AC1A16">
        <w:t xml:space="preserve"> and the flame</w:t>
      </w:r>
      <w:r w:rsidR="00EC26B1">
        <w:t>s</w:t>
      </w:r>
      <w:r w:rsidR="00A44A60" w:rsidRPr="00AC1A16">
        <w:t xml:space="preserve"> propagation.</w:t>
      </w:r>
      <w:r w:rsidR="00ED671A">
        <w:t xml:space="preserve"> </w:t>
      </w:r>
      <w:r w:rsidR="00EC26B1">
        <w:t>Furthermore</w:t>
      </w:r>
      <w:r w:rsidR="00ED671A">
        <w:t>, the</w:t>
      </w:r>
      <w:r w:rsidR="00F754D4">
        <w:t>ir</w:t>
      </w:r>
      <w:r w:rsidR="00ED671A">
        <w:t xml:space="preserve"> performance respecting the mentioned parameters</w:t>
      </w:r>
      <w:r w:rsidR="004541F8">
        <w:t xml:space="preserve"> was evaluated</w:t>
      </w:r>
      <w:r w:rsidR="00ED671A">
        <w:t xml:space="preserve"> </w:t>
      </w:r>
      <w:r w:rsidR="00232F97">
        <w:t>with</w:t>
      </w:r>
      <w:r w:rsidR="004541F8">
        <w:t xml:space="preserve"> respect to</w:t>
      </w:r>
      <w:r w:rsidR="00ED671A">
        <w:t xml:space="preserve"> two different commercial </w:t>
      </w:r>
      <w:r w:rsidR="00ED671A">
        <w:lastRenderedPageBreak/>
        <w:t>formulations</w:t>
      </w:r>
      <w:r w:rsidR="00F754D4">
        <w:t xml:space="preserve"> (</w:t>
      </w:r>
      <w:r w:rsidR="00004CCE">
        <w:t>top ranked</w:t>
      </w:r>
      <w:r w:rsidR="00F754D4">
        <w:t xml:space="preserve"> fireproofing coatings).</w:t>
      </w:r>
      <w:r w:rsidR="00A44A60" w:rsidRPr="00AC1A16">
        <w:t xml:space="preserve"> </w:t>
      </w:r>
      <w:r w:rsidR="00232F97">
        <w:t>I</w:t>
      </w:r>
      <w:r w:rsidR="00A44A60" w:rsidRPr="00AC1A16">
        <w:t>t was confirmed that</w:t>
      </w:r>
      <w:r w:rsidR="002D7DFB" w:rsidRPr="00AC1A16">
        <w:t xml:space="preserve"> the</w:t>
      </w:r>
      <w:r w:rsidR="00A44A60" w:rsidRPr="00AC1A16">
        <w:t xml:space="preserve"> </w:t>
      </w:r>
      <w:r w:rsidR="008C59B7" w:rsidRPr="00AC1A16">
        <w:t xml:space="preserve">risks derived from the exposure of wood to fire were significantly reduced </w:t>
      </w:r>
      <w:r w:rsidR="00A44A60" w:rsidRPr="00AC1A16">
        <w:t xml:space="preserve">after the application of the </w:t>
      </w:r>
      <w:r w:rsidR="00004CCE">
        <w:t xml:space="preserve">biobased </w:t>
      </w:r>
      <w:r w:rsidR="00A44A60" w:rsidRPr="00AC1A16">
        <w:t>coating</w:t>
      </w:r>
      <w:r w:rsidR="00841815" w:rsidRPr="00AC1A16">
        <w:t>s</w:t>
      </w:r>
      <w:r w:rsidR="00004CCE">
        <w:t>: the heat release during combustion was reduced, a protective effect was achieved concerning wood integrity and the propagation of the flames was significantly delayed</w:t>
      </w:r>
      <w:r w:rsidR="00EC26B1">
        <w:t>.</w:t>
      </w:r>
      <w:r w:rsidR="00010ED7" w:rsidRPr="00232F97">
        <w:t xml:space="preserve"> </w:t>
      </w:r>
      <w:r w:rsidR="00EC26B1">
        <w:t>Besides, t</w:t>
      </w:r>
      <w:r w:rsidR="00926DF0" w:rsidRPr="00232F97">
        <w:t>he</w:t>
      </w:r>
      <w:r w:rsidR="00EC26B1">
        <w:t>se</w:t>
      </w:r>
      <w:r w:rsidR="00926DF0" w:rsidRPr="00232F97">
        <w:t xml:space="preserve"> parameters displayed</w:t>
      </w:r>
      <w:r w:rsidR="00EC26B1">
        <w:t xml:space="preserve"> a</w:t>
      </w:r>
      <w:r w:rsidR="00926DF0" w:rsidRPr="00232F97">
        <w:t xml:space="preserve"> better </w:t>
      </w:r>
      <w:r w:rsidR="001A3208" w:rsidRPr="00232F97">
        <w:t>performance</w:t>
      </w:r>
      <w:r w:rsidR="00926DF0" w:rsidRPr="00232F97">
        <w:t xml:space="preserve"> on </w:t>
      </w:r>
      <w:r w:rsidR="008616D1" w:rsidRPr="00232F97">
        <w:t>beech</w:t>
      </w:r>
      <w:r w:rsidR="003E65A0" w:rsidRPr="00232F97">
        <w:t xml:space="preserve"> wood</w:t>
      </w:r>
      <w:r w:rsidR="007820A1" w:rsidRPr="00232F97">
        <w:t xml:space="preserve"> </w:t>
      </w:r>
      <w:r w:rsidR="00926DF0" w:rsidRPr="00232F97">
        <w:t xml:space="preserve">compared to </w:t>
      </w:r>
      <w:r w:rsidR="003E65A0" w:rsidRPr="00232F97">
        <w:t xml:space="preserve">maritime </w:t>
      </w:r>
      <w:r w:rsidR="008616D1" w:rsidRPr="00232F97">
        <w:t>pine wood</w:t>
      </w:r>
      <w:r w:rsidR="00926DF0" w:rsidRPr="00232F97">
        <w:t>.</w:t>
      </w:r>
      <w:r w:rsidR="00EC26B1">
        <w:t xml:space="preserve"> Finally it was observed that the results obtained by the biobased coating formulation R</w:t>
      </w:r>
      <w:r w:rsidR="00EC26B1">
        <w:rPr>
          <w:vertAlign w:val="subscript"/>
        </w:rPr>
        <w:t>A</w:t>
      </w:r>
      <w:r w:rsidR="00EC26B1">
        <w:t xml:space="preserve"> and R</w:t>
      </w:r>
      <w:r w:rsidR="00EC26B1">
        <w:rPr>
          <w:vertAlign w:val="subscript"/>
        </w:rPr>
        <w:t>B</w:t>
      </w:r>
      <w:r w:rsidR="00EC26B1">
        <w:t xml:space="preserve"> were comparable to those achieved by the commercial fireproofing assessed.</w:t>
      </w:r>
    </w:p>
    <w:p w14:paraId="62C5D66C" w14:textId="4EBE82DE" w:rsidR="00FF73F0" w:rsidRPr="00AC1A16" w:rsidRDefault="00FF73F0" w:rsidP="00FB7CC5">
      <w:pPr>
        <w:pStyle w:val="BGKeywords"/>
        <w:sectPr w:rsidR="00FF73F0" w:rsidRPr="00AC1A16" w:rsidSect="00603A01">
          <w:footerReference w:type="default" r:id="rId9"/>
          <w:pgSz w:w="11906" w:h="16838"/>
          <w:pgMar w:top="1417" w:right="1701" w:bottom="1417" w:left="1701" w:header="708" w:footer="708" w:gutter="0"/>
          <w:lnNumType w:countBy="1" w:restart="continuous"/>
          <w:cols w:space="708"/>
          <w:docGrid w:linePitch="360"/>
        </w:sectPr>
      </w:pPr>
      <w:r w:rsidRPr="00AC1A16">
        <w:t>KEYWORDS:</w:t>
      </w:r>
      <w:r w:rsidR="00232F97">
        <w:t xml:space="preserve"> coatings, fireproofing,</w:t>
      </w:r>
      <w:r w:rsidR="0080225D" w:rsidRPr="00AC1A16">
        <w:t xml:space="preserve"> </w:t>
      </w:r>
      <w:r w:rsidR="00D27CA6" w:rsidRPr="00AC1A16">
        <w:t>lignin, tannins,</w:t>
      </w:r>
      <w:r w:rsidR="00841815" w:rsidRPr="00AC1A16">
        <w:t xml:space="preserve"> phenolic resin,</w:t>
      </w:r>
      <w:r w:rsidR="00446911" w:rsidRPr="00AC1A16">
        <w:t xml:space="preserve"> nanoclay, nanosilicate,</w:t>
      </w:r>
      <w:r w:rsidR="003777B4" w:rsidRPr="00AC1A16">
        <w:t xml:space="preserve"> </w:t>
      </w:r>
    </w:p>
    <w:p w14:paraId="10D4C73F" w14:textId="1B64EDB2" w:rsidR="00FF73F0" w:rsidRPr="00AC1A16" w:rsidRDefault="00FF73F0" w:rsidP="00FF73F0">
      <w:pPr>
        <w:spacing w:line="276" w:lineRule="auto"/>
        <w:rPr>
          <w:rFonts w:ascii="Arial" w:hAnsi="Arial" w:cs="Arial"/>
        </w:rPr>
      </w:pPr>
    </w:p>
    <w:p w14:paraId="560FC30D" w14:textId="1C51E6D4" w:rsidR="000F758A" w:rsidRPr="00AC1A16" w:rsidRDefault="000F758A" w:rsidP="00FB7CC5">
      <w:pPr>
        <w:pStyle w:val="TAMainText"/>
      </w:pPr>
      <w:r w:rsidRPr="00AC1A16">
        <w:t>INTRODUCTION</w:t>
      </w:r>
    </w:p>
    <w:p w14:paraId="26C7D412" w14:textId="11562A47" w:rsidR="00CB30D7" w:rsidRDefault="00CB30D7" w:rsidP="00CB30D7">
      <w:pPr>
        <w:pStyle w:val="TAMainText"/>
      </w:pPr>
      <w:r>
        <w:t>Nowadays, wood represents one of the main materials employed, especially in the field of construction, due to its mechanical and structural properties e.g. excellent ratio strength to weight</w:t>
      </w:r>
      <w:r>
        <w:fldChar w:fldCharType="begin" w:fldLock="1"/>
      </w:r>
      <w:r>
        <w:instrText>ADDIN CSL_CITATION { "citationItems" : [ { "id" : "ITEM-1", "itemData" : { "abstract" : "The remarkable growth of engineered wood products (EWP) in the last decade of the twentieth century constitutes one\r\nof the success stories of the wood products industry. The sector\u2019s success has been driven by technology which has\r\nbroadened the range of usable raw materials, including plantation fibre and previously underutilized species such as\r\naspen. The design, production and building process for North American residential construction has kept pace with\r\nthe evolution in building materials. Wood platform-frame construction has evolved from a long tradition of\r\nconventional practices where housing materials are brought to the building site and assembled in sequence by various\r\nbuilding trades and construction workers. Recent developments have been the incorporation of pre-engineered roof,\r\nfloor and wall systems into the conventional on-site home building process and the rapid growth of manufactured,\r\npanelized and modular home construction. In addition to affordability and quality, wood platform-frame construction\r\noffers superior performance under earthquake conditions. Recent improvements in design and materials have made\r\nwood frame structures comparable to other building systems with respect to durability and fire performance. Finally,\r\nlife cycle analysis of different building materials has demonstrated unequivocally the environmental advantages of\r\nwood construction.", "author" : [ { "dropping-particle" : "", "family" : "la Roche", "given" : "Ian", "non-dropping-particle" : "de", "parse-names" : false, "suffix" : "" }, { "dropping-particle" : "", "family" : "Dangerfield", "given" : "Jim A.", "non-dropping-particle" : "", "parse-names" : false, "suffix" : "" }, { "dropping-particle" : "", "family" : "Karacabeyli", "given" : "Erol", "non-dropping-particle" : "", "parse-names" : false, "suffix" : "" } ], "container-title" : "New Zeland  Timber Design Journal", "id" : "ITEM-1", "issue" : "1", "issued" : { "date-parts" : [ [ "2003" ] ] }, "page" : "9-13", "title" : "Wood Products And Sustainable Construction", "type" : "article-journal", "volume" : "12" }, "uris" : [ "http://www.mendeley.com/documents/?uuid=a3a44990-313a-3bf9-8c36-b23b79920de8" ] } ], "mendeley" : { "formattedCitation" : "&lt;sup&gt;1&lt;/sup&gt;", "plainTextFormattedCitation" : "1", "previouslyFormattedCitation" : "&lt;sup&gt;1&lt;/sup&gt;" }, "properties" : {  }, "schema" : "https://github.com/citation-style-language/schema/raw/master/csl-citation.json" }</w:instrText>
      </w:r>
      <w:r>
        <w:fldChar w:fldCharType="separate"/>
      </w:r>
      <w:r w:rsidRPr="00CB30D7">
        <w:rPr>
          <w:noProof/>
          <w:vertAlign w:val="superscript"/>
        </w:rPr>
        <w:t>1</w:t>
      </w:r>
      <w:r>
        <w:fldChar w:fldCharType="end"/>
      </w:r>
      <w:r>
        <w:t>. Besides, it is also regaining importance owing to its versatility and environmentally friendly features</w:t>
      </w:r>
      <w:r>
        <w:fldChar w:fldCharType="begin" w:fldLock="1"/>
      </w:r>
      <w:r>
        <w:instrText>ADDIN CSL_CITATION { "citationItems" : [ { "id" : "ITEM-1", "itemData" : { "DOI" : "10.1016/B978-0-08-100370-1.00007-X", "ISBN" : "9780081009956", "abstract" : "Wood fibre is available throughout the world in both plantations (often monocultures) and native, biologically diverse forests and is utilised in a wide range of consumer products, particularly in building and construction applications. Though, on a global scale, net deforestation is occurring, there are a number of countries where sustainable forest production practices are in place and forested areas are increasing or are at stable levels. Deforestation generally takes place because of land clearance particularly in poor and developing countries for a variety of reasons but principally to gain access to farmland to grow food and cash crops, for firewood gathering as a heating and cooking source of energy, and from illegal logging. Sustainable forest management of production forests is today a key requirement particularly in combination with the Forest and Chain of Custody Certification programs. Relative to other construction materials used for frame building construction, timber has arguably the best environmental and sustainability credentials, particularly from a life-cycle assessment perspective. The case for use of timber and wood in construction from a sustainability perspective is presented in this chapter.", "author" : [ { "dropping-particle" : "", "family" : "Woodard", "given" : "A.C.", "non-dropping-particle" : "", "parse-names" : false, "suffix" : "" }, { "dropping-particle" : "", "family" : "Milner", "given" : "H.R.", "non-dropping-particle" : "", "parse-names" : false, "suffix" : "" } ], "chapter-number" : "7", "container-title" : "Sustainability of Construction Materials", "id" : "ITEM-1", "issued" : { "date-parts" : [ [ "2016", "1", "1" ] ] }, "page" : "129-157", "publisher" : "Woodhead Publishing", "title" : "Sustainability of timber and wood in construction", "type" : "chapter" }, "uris" : [ "http://www.mendeley.com/documents/?uuid=f77a453c-520b-3503-9707-b45fcaddbf25" ] } ], "mendeley" : { "formattedCitation" : "&lt;sup&gt;2&lt;/sup&gt;", "plainTextFormattedCitation" : "2", "previouslyFormattedCitation" : "&lt;sup&gt;2&lt;/sup&gt;" }, "properties" : {  }, "schema" : "https://github.com/citation-style-language/schema/raw/master/csl-citation.json" }</w:instrText>
      </w:r>
      <w:r>
        <w:fldChar w:fldCharType="separate"/>
      </w:r>
      <w:r w:rsidRPr="00CB30D7">
        <w:rPr>
          <w:noProof/>
          <w:vertAlign w:val="superscript"/>
        </w:rPr>
        <w:t>2</w:t>
      </w:r>
      <w:r>
        <w:fldChar w:fldCharType="end"/>
      </w:r>
      <w:r>
        <w:t>. Nevertheless, there are some risks inherent to wood such as fire, which can considerably compromise the structure and performance of this material. Moreover, since wood is widely integrated within our daily life, wood-derived fires can lead to hazardous situations to humans. Consequently, the protection of wood against fire is of significant importance owing to structural, environmental and safety reasons. The elements used in the protection of wood against fire are generally refer to as fireproofing compounds. They are capable of improving the susceptibility of wood against fire by decreasing the heat released during the early stages of combustion, reducing the smoke and volatiles exhausted and delaying the spread of the flames along the material</w:t>
      </w:r>
      <w:r>
        <w:fldChar w:fldCharType="begin" w:fldLock="1"/>
      </w:r>
      <w:r>
        <w:instrText>ADDIN CSL_CITATION { "citationItems" : [ { "id" : "ITEM-1", "itemData" : { "DOI" : "10.1002/fam.2779", "ISSN" : "0308-0501", "abstract" : "Wood and wood-based products are widely used for structural building elements, but due to their composition, they are susceptible of combusting if exposed to fire. Fire safety is an important issue of building safety, especially when the building's fire load contents enhance the risks of fire spread. Therefore, the involved materials are very important to address the fire safety requirements. When existing timber structures are involved, the most usual way to improve its reaction to fire is to treat wood with fire retardant materials. The idea of this paper is to give an overall overview, on the existing fire-retardant and intumescent coating materials, modification, and treatments that can be applied to wood and wood-based products in order to improve their reaction to fire.", "author" : [ { "dropping-particle" : "", "family" : "Popescu", "given" : "Carmen\u2010Mihaela", "non-dropping-particle" : "", "parse-names" : false, "suffix" : "" }, { "dropping-particle" : "", "family" : "Pfriem", "given" : "Alexander", "non-dropping-particle" : "", "parse-names" : false, "suffix" : "" } ], "container-title" : "Fire and Materials", "id" : "ITEM-1", "issue" : "1", "issued" : { "date-parts" : [ [ "2020", "1", "17" ] ] }, "page" : "100-111", "publisher" : "John Wiley and Sons Ltd", "title" : "Treatments and modification to improve the reaction to fire of wood and wood based products\u2014An overview", "type" : "article-journal", "volume" : "44" }, "uris" : [ "http://www.mendeley.com/documents/?uuid=62ffd3f9-144b-3844-97cb-9480385e9c2f" ] } ], "mendeley" : { "formattedCitation" : "&lt;sup&gt;3&lt;/sup&gt;", "plainTextFormattedCitation" : "3", "previouslyFormattedCitation" : "&lt;sup&gt;3&lt;/sup&gt;" }, "properties" : {  }, "schema" : "https://github.com/citation-style-language/schema/raw/master/csl-citation.json" }</w:instrText>
      </w:r>
      <w:r>
        <w:fldChar w:fldCharType="separate"/>
      </w:r>
      <w:r w:rsidRPr="00CB30D7">
        <w:rPr>
          <w:noProof/>
          <w:vertAlign w:val="superscript"/>
        </w:rPr>
        <w:t>3</w:t>
      </w:r>
      <w:r>
        <w:fldChar w:fldCharType="end"/>
      </w:r>
      <w:r>
        <w:t>. Respecting these compounds, there has been an evolution among the last decades. Traditionally, the most common flame-retardants were based halogenated compounds. However, the major problem with this type of compounds was the broad range of adverse consequences to humans such as inmunotoxicity, reproductive toxicity and carcinogenic effects</w:t>
      </w:r>
      <w:r>
        <w:fldChar w:fldCharType="begin" w:fldLock="1"/>
      </w:r>
      <w:r>
        <w:instrText>ADDIN CSL_CITATION { "citationItems" : [ { "id" : "ITEM-1", "itemData" : { "DOI" : "10.1515/REVEH.2010.25.4.261", "ISSN" : "2191-0308", "author" : [ { "dropping-particle" : "", "family" : "Shaw", "given" : "Susan", "non-dropping-particle" : "", "parse-names" : false, "suffix" : "" } ], "container-title" : "Reviews on Environmental Health", "id" : "ITEM-1", "issue" : "4", "issued" : { "date-parts" : [ [ "2010", "1" ] ] }, "page" : "261-306", "publisher" : "De Gruyter", "title" : "Halogenated Flame Retardants: Do the Fire Safety Benefits Justify the Risks?", "type" : "article-journal", "volume" : "25" }, "uris" : [ "http://www.mendeley.com/documents/?uuid=da51af07-0842-3637-90d7-2617b78723f1" ] } ], "mendeley" : { "formattedCitation" : "&lt;sup&gt;4&lt;/sup&gt;", "plainTextFormattedCitation" : "4", "previouslyFormattedCitation" : "&lt;sup&gt;4&lt;/sup&gt;" }, "properties" : {  }, "schema" : "https://github.com/citation-style-language/schema/raw/master/csl-citation.json" }</w:instrText>
      </w:r>
      <w:r>
        <w:fldChar w:fldCharType="separate"/>
      </w:r>
      <w:r w:rsidRPr="00CB30D7">
        <w:rPr>
          <w:noProof/>
          <w:vertAlign w:val="superscript"/>
        </w:rPr>
        <w:t>4</w:t>
      </w:r>
      <w:r>
        <w:fldChar w:fldCharType="end"/>
      </w:r>
      <w:r>
        <w:t>. Accordingly, they have been gradually substituted by other performing and non-toxic compounds e.g. boron, phosphorous or nitrogen-based. Another class of flame-retardants employed in the recent years</w:t>
      </w:r>
      <w:r w:rsidR="004541F8">
        <w:t>,</w:t>
      </w:r>
      <w:r>
        <w:t xml:space="preserve"> is the silicon-based compounds</w:t>
      </w:r>
      <w:r>
        <w:fldChar w:fldCharType="begin" w:fldLock="1"/>
      </w:r>
      <w:r>
        <w:instrText>ADDIN CSL_CITATION { "citationItems" : [ { "id" : "ITEM-1", "itemData" : { "DOI" : "10.1016/B978-0-444-53808-6.00011-1", "ISBN" : "9780444538093", "abstract" : "This chapter reviews the use of boron-based flame retardants. It will focus only on recent advances and those developments that were not covered in the previous reviews, particularly on halogen-free polymers. Chemical-physical properties, end-use applications, fire test performance, as well as mode of actions of boron-based flame retardants are reviewed. In particular, synergistic interaction between \"boron and metal hydroxide,\" \"boron and nitrogen,\" \"boron and phosphorus,\" \"boron and carbon,\" and \"boron and silicon\" in fire test performances will be illustrated.", "author" : [ { "dropping-particle" : "", "family" : "Shen", "given" : "Kelvin K.", "non-dropping-particle" : "", "parse-names" : false, "suffix" : "" } ], "container-title" : "Polymer Green Flame Retardants", "id" : "ITEM-1", "issued" : { "date-parts" : [ [ "2014", "8", "26" ] ] }, "page" : "367-388", "publisher" : "Elsevier Inc.", "title" : "Review of Recent Advances on the Use of Boron-based Flame Retardants", "type" : "chapter" }, "uris" : [ "http://www.mendeley.com/documents/?uuid=bb27c44b-19fe-39d4-906f-a8cfbcbced49" ] } ], "mendeley" : { "formattedCitation" : "&lt;sup&gt;5&lt;/sup&gt;", "plainTextFormattedCitation" : "5", "previouslyFormattedCitation" : "&lt;sup&gt;5&lt;/sup&gt;" }, "properties" : {  }, "schema" : "https://github.com/citation-style-language/schema/raw/master/csl-citation.json" }</w:instrText>
      </w:r>
      <w:r>
        <w:fldChar w:fldCharType="separate"/>
      </w:r>
      <w:r w:rsidRPr="00CB30D7">
        <w:rPr>
          <w:noProof/>
          <w:vertAlign w:val="superscript"/>
        </w:rPr>
        <w:t>5</w:t>
      </w:r>
      <w:r>
        <w:fldChar w:fldCharType="end"/>
      </w:r>
      <w:r>
        <w:t>. They have been reported to improve considerably the flame retardancy as either fillers, polymers or copolymers</w:t>
      </w:r>
      <w:r>
        <w:fldChar w:fldCharType="begin" w:fldLock="1"/>
      </w:r>
      <w:r>
        <w:instrText>ADDIN CSL_CITATION { "citationItems" : [ { "id" : "ITEM-1", "itemData" : { "DOI" : "10.1016/J.MSER.2008.09.002", "ISSN" : "0927-796X", "abstract" : "The objective of this review is to make the field of \u201cflame retardants for polymer materials\u201d more accessible to the materials science community, i.e. chemists, physicists and engineers. We present the fundamentals of polymer combustion theory, the main flame retardant properties and tests used to describe fire behavior, together with the nature and modes of action of the most representative flame retardants and the synergistic effects that can be achieved by combining them. We particularly focus on polymer nanocomposites, i.e. polymer matrices filled with specific, finely dispersed nanofillers, which will undoubtedly pave the way for future materials combining physicochemical and thermo-mechanical performances with enhanced flame retardant behavior.", "author" : [ { "dropping-particle" : "", "family" : "Laoutid", "given" : "F.", "non-dropping-particle" : "", "parse-names" : false, "suffix" : "" }, { "dropping-particle" : "", "family" : "Bonnaud", "given" : "L.", "non-dropping-particle" : "", "parse-names" : false, "suffix" : "" }, { "dropping-particle" : "", "family" : "Alexandre", "given" : "M.", "non-dropping-particle" : "", "parse-names" : false, "suffix" : "" }, { "dropping-particle" : "", "family" : "Lopez-Cuesta", "given" : "J.-M.", "non-dropping-particle" : "", "parse-names" : false, "suffix" : "" }, { "dropping-particle" : "", "family" : "Dubois", "given" : "Ph.", "non-dropping-particle" : "", "parse-names" : false, "suffix" : "" } ], "container-title" : "Materials Science and Engineering: R: Reports", "id" : "ITEM-1", "issue" : "3", "issued" : { "date-parts" : [ [ "2009", "1", "29" ] ] }, "page" : "100-125", "publisher" : "Elsevier", "title" : "New prospects in flame retardant polymer materials: From fundamentals to nanocomposites", "type" : "article-journal", "volume" : "63" }, "uris" : [ "http://www.mendeley.com/documents/?uuid=cd771277-4828-3e0f-9a37-b7a533dbb742" ] } ], "mendeley" : { "formattedCitation" : "&lt;sup&gt;6&lt;/sup&gt;", "plainTextFormattedCitation" : "6", "previouslyFormattedCitation" : "&lt;sup&gt;6&lt;/sup&gt;" }, "properties" : {  }, "schema" : "https://github.com/citation-style-language/schema/raw/master/csl-citation.json" }</w:instrText>
      </w:r>
      <w:r>
        <w:fldChar w:fldCharType="separate"/>
      </w:r>
      <w:r w:rsidRPr="00CB30D7">
        <w:rPr>
          <w:noProof/>
          <w:vertAlign w:val="superscript"/>
        </w:rPr>
        <w:t>6</w:t>
      </w:r>
      <w:r>
        <w:fldChar w:fldCharType="end"/>
      </w:r>
      <w:r>
        <w:t>. Thus, they help to the formation of a protective barrier during combustion, which hinders the heat transfer into the material</w:t>
      </w:r>
      <w:r>
        <w:fldChar w:fldCharType="begin" w:fldLock="1"/>
      </w:r>
      <w:r>
        <w:instrText>ADDIN CSL_CITATION { "citationItems" : [ { "id" : "ITEM-1", "itemData" : { "DOI" : "10.1002/app.27033", "ISSN" : "00218995", "author" : [ { "dropping-particle" : "", "family" : "Song", "given" : "Rongjun", "non-dropping-particle" : "", "parse-names" : false, "suffix" : "" }, { "dropping-particle" : "", "family" : "Wang", "given" : "Zhe", "non-dropping-particle" : "", "parse-names" : false, "suffix" : "" }, { "dropping-particle" : "", "family" : "Meng", "given" : "Xiaoyu", "non-dropping-particle" : "", "parse-names" : false, "suffix" : "" }, { "dropping-particle" : "", "family" : "Zhang", "given" : "Baoyan", "non-dropping-particle" : "", "parse-names" : false, "suffix" : "" }, { "dropping-particle" : "", "family" : "Tang", "given" : "Tao", "non-dropping-particle" : "", "parse-names" : false, "suffix" : "" } ], "container-title" : "Journal of Applied Polymer Science", "id" : "ITEM-1", "issue" : "5", "issued" : { "date-parts" : [ [ "2007", "12", "5" ] ] }, "page" : "3488-3494", "publisher" : "John Wiley &amp; Sons, Ltd", "title" : "Influences of catalysis and dispersion of organically modified montmorillonite on flame retardancy of polypropylene nanocomposites", "type" : "article-journal", "volume" : "106" }, "uris" : [ "http://www.mendeley.com/documents/?uuid=f35ed725-1653-3fd9-865d-2fd9f9d24e0d" ] } ], "mendeley" : { "formattedCitation" : "&lt;sup&gt;7&lt;/sup&gt;", "plainTextFormattedCitation" : "7", "previouslyFormattedCitation" : "&lt;sup&gt;7&lt;/sup&gt;" }, "properties" : {  }, "schema" : "https://github.com/citation-style-language/schema/raw/master/csl-citation.json" }</w:instrText>
      </w:r>
      <w:r>
        <w:fldChar w:fldCharType="separate"/>
      </w:r>
      <w:r w:rsidRPr="00CB30D7">
        <w:rPr>
          <w:noProof/>
          <w:vertAlign w:val="superscript"/>
        </w:rPr>
        <w:t>7</w:t>
      </w:r>
      <w:r>
        <w:fldChar w:fldCharType="end"/>
      </w:r>
      <w:r>
        <w:t>. Furthermore, they lead to the reduction of the heat release upon combustion</w:t>
      </w:r>
      <w:r>
        <w:fldChar w:fldCharType="begin" w:fldLock="1"/>
      </w:r>
      <w:r>
        <w:instrText>ADDIN CSL_CITATION { "citationItems" : [ { "id" : "ITEM-1", "itemData" : { "author" : [ { "dropping-particle" : "", "family" : "Kashiwagi", "given" : "T", "non-dropping-particle" : "", "parse-names" : false, "suffix" : "" }, { "dropping-particle" : "", "family" : "Gilman", "given" : "JW", "non-dropping-particle" : "", "parse-names" : false, "suffix" : "" } ], "chapter-number" : "10", "container-title" : " Fire retardancy of polymeric materials", "id" : "ITEM-1", "issued" : { "date-parts" : [ [ "2000" ] ] }, "page" : "353-389", "publisher" : "Marcel Dekker Inc.", "publisher-place" : "New York", "title" : "Silicon based flame retardants", "type" : "chapter" }, "uris" : [ "http://www.mendeley.com/documents/?uuid=d595fe72-efe5-3c8a-bfff-2e13fb50a98e" ] } ], "mendeley" : { "formattedCitation" : "&lt;sup&gt;8&lt;/sup&gt;", "plainTextFormattedCitation" : "8", "previouslyFormattedCitation" : "&lt;sup&gt;8&lt;/sup&gt;" }, "properties" : {  }, "schema" : "https://github.com/citation-style-language/schema/raw/master/csl-citation.json" }</w:instrText>
      </w:r>
      <w:r>
        <w:fldChar w:fldCharType="separate"/>
      </w:r>
      <w:r w:rsidRPr="00CB30D7">
        <w:rPr>
          <w:noProof/>
          <w:vertAlign w:val="superscript"/>
        </w:rPr>
        <w:t>8</w:t>
      </w:r>
      <w:r>
        <w:fldChar w:fldCharType="end"/>
      </w:r>
      <w:r>
        <w:t xml:space="preserve">. Within this </w:t>
      </w:r>
      <w:r>
        <w:lastRenderedPageBreak/>
        <w:t>group, there are certain types attracting a great deal of at</w:t>
      </w:r>
      <w:r w:rsidR="00255651">
        <w:t>tention lately. On the one hand</w:t>
      </w:r>
      <w:r>
        <w:t xml:space="preserve"> the silsesquioxanes, which are based on a silicate-caged structure with an inner core of silicon and oxygen and an exterior part constituted of organic components ([RSiO</w:t>
      </w:r>
      <w:r w:rsidRPr="00EA1A18">
        <w:rPr>
          <w:vertAlign w:val="subscript"/>
        </w:rPr>
        <w:t>1.5</w:t>
      </w:r>
      <w:r>
        <w:t>]</w:t>
      </w:r>
      <w:r w:rsidRPr="00EA1A18">
        <w:rPr>
          <w:vertAlign w:val="subscript"/>
        </w:rPr>
        <w:t>8</w:t>
      </w:r>
      <w:r>
        <w:t>)</w:t>
      </w:r>
      <w:r>
        <w:fldChar w:fldCharType="begin" w:fldLock="1"/>
      </w:r>
      <w:r>
        <w:instrText>ADDIN CSL_CITATION { "citationItems" : [ { "id" : "ITEM-1", "itemData" : { "DOI" : "10.3390/nano2040445", "ISSN" : "2079-4991", "abstract" : "Hybrid materials with superior structural and functional properties can be obtained by incorporating nanofillers into polymer matrices. Polyhedral oligomeric silsesquioxane (POSS) nanoparticles have attracted much attention recently due to their nanometer size, the ease of which these particles can be incorporated into polymeric materials and the unique capability to reinforce polymers. We review here the state of POSS-containing polymer nanocomposites. We discuss the influence of the incorporation of POSS into polymer matrices via chemical cross-linking or physical blending on the structure of nanocomposites, as affected by surface functional groups, and the POSS concentration.", "author" : [ { "dropping-particle" : "", "family" : "Ayandele", "given" : "Ebunoluwa", "non-dropping-particle" : "", "parse-names" : false, "suffix" : "" }, { "dropping-particle" : "", "family" : "Sarkar", "given" : "Biswajit", "non-dropping-particle" : "", "parse-names" : false, "suffix" : "" }, { "dropping-particle" : "", "family" : "Alexandridis", "given" : "Paschalis", "non-dropping-particle" : "", "parse-names" : false, "suffix" : "" } ], "container-title" : "Nanomaterials", "id" : "ITEM-1", "issue" : "4", "issued" : { "date-parts" : [ [ "2012", "12", "6" ] ] }, "page" : "445-475", "publisher" : "MDPI AG", "title" : "Polyhedral Oligomeric Silsesquioxane (POSS)-Containing Polymer Nanocomposites", "type" : "article-journal", "volume" : "2" }, "uris" : [ "http://www.mendeley.com/documents/?uuid=a699750d-1c85-3b9c-a7ed-caa204fe43da" ] } ], "mendeley" : { "formattedCitation" : "&lt;sup&gt;9&lt;/sup&gt;", "plainTextFormattedCitation" : "9", "previouslyFormattedCitation" : "&lt;sup&gt;9&lt;/sup&gt;" }, "properties" : {  }, "schema" : "https://github.com/citation-style-language/schema/raw/master/csl-citation.json" }</w:instrText>
      </w:r>
      <w:r>
        <w:fldChar w:fldCharType="separate"/>
      </w:r>
      <w:r w:rsidRPr="00CB30D7">
        <w:rPr>
          <w:noProof/>
          <w:vertAlign w:val="superscript"/>
        </w:rPr>
        <w:t>9</w:t>
      </w:r>
      <w:r>
        <w:fldChar w:fldCharType="end"/>
      </w:r>
      <w:r w:rsidR="00255651">
        <w:t>. These compounds</w:t>
      </w:r>
      <w:r>
        <w:t xml:space="preserve"> can add different interesting functionalities within their structure (R groups)</w:t>
      </w:r>
      <w:r>
        <w:fldChar w:fldCharType="begin" w:fldLock="1"/>
      </w:r>
      <w:r>
        <w:instrText>ADDIN CSL_CITATION { "citationItems" : [ { "id" : "ITEM-1", "itemData" : { "DOI" : "10.1016/J.PROGPOLYMSCI.2011.05.002", "ISSN" : "0079-6700", "abstract" : "This review describes the syntheses of polyhedral oligomeric silsesquioxane (T8-POSS) compounds, the miscibility of POSS derivatives and polymers, the preparation of both multifunctional and monofunctional monomers and polymers containing POSS including styryl-POSS, methacrylate-POSS, norbornyl\u2013POSS, vinyl-POSS, epoxy\u2013POSS, phenolic\u2013POSS, benzoxazine\u2013POSS, amine-POSS, and hydroxyl-POSS. The thermal, dynamic mechanical, electrical, and surface properties of POSS-related polymeric nanocomposites prepared from both monofunctional and multifunctional POSS monomers are discussed. In addition, we describe the applications of several high-performance POSS nanocomposites in such systems as light emitting diodes, liquid crystals, photo-resist materials, low-dielectric constant materials, self-assembled block copolymers, and nanoparticles.", "author" : [ { "dropping-particle" : "", "family" : "Kuo", "given" : "Shiao-Wei", "non-dropping-particle" : "", "parse-names" : false, "suffix" : "" }, { "dropping-particle" : "", "family" : "Chang", "given" : "Feng-Chih", "non-dropping-particle" : "", "parse-names" : false, "suffix" : "" } ], "container-title" : "Progress in Polymer Science", "id" : "ITEM-1", "issue" : "12", "issued" : { "date-parts" : [ [ "2011", "12", "1" ] ] }, "page" : "1649-1696", "publisher" : "Pergamon", "title" : "POSS related polymer nanocomposites", "type" : "article-journal", "volume" : "36" }, "uris" : [ "http://www.mendeley.com/documents/?uuid=dadd4a7a-6592-3cf5-a7bd-d17541748639" ] } ], "mendeley" : { "formattedCitation" : "&lt;sup&gt;10&lt;/sup&gt;", "plainTextFormattedCitation" : "10", "previouslyFormattedCitation" : "&lt;sup&gt;10&lt;/sup&gt;" }, "properties" : {  }, "schema" : "https://github.com/citation-style-language/schema/raw/master/csl-citation.json" }</w:instrText>
      </w:r>
      <w:r>
        <w:fldChar w:fldCharType="separate"/>
      </w:r>
      <w:r w:rsidRPr="00CB30D7">
        <w:rPr>
          <w:noProof/>
          <w:vertAlign w:val="superscript"/>
        </w:rPr>
        <w:t>10</w:t>
      </w:r>
      <w:r>
        <w:fldChar w:fldCharType="end"/>
      </w:r>
      <w:r>
        <w:t>, which is an advantage since it allows their utilization in several appl</w:t>
      </w:r>
      <w:r w:rsidR="00255651">
        <w:t>ications. On the other hand,</w:t>
      </w:r>
      <w:r>
        <w:t xml:space="preserve"> layered materials such as clays, which are composed of silicate layers with different dispersion morphologies. Montmorillonite is one of the most significant examples of this type</w:t>
      </w:r>
      <w:r w:rsidR="00841217">
        <w:fldChar w:fldCharType="begin" w:fldLock="1"/>
      </w:r>
      <w:r w:rsidR="00841217">
        <w:instrText>ADDIN CSL_CITATION { "citationItems" : [ { "id" : "ITEM-1", "itemData" : { "DOI" : "10.1039/c6ra25070j", "ISSN" : "20462069", "abstract" : "A phosphaphenanthrene and triazinetrione group containing flame retardant (TAD) is combined with organically modified montmorillonite (OMMT) in epoxy resin thermosets (EP) to improve the performance of the flame-retardant system. When only 1 wt% OMMT/4 wt% TAD is introduced into the EP, the limited oxygen index (LOI) rises from 26% to 36.9% and a V-0 rating is achieved in a UL 94 test. The decomposition and pyrolysis products in the gas phase and condensed phase were characterized using thermogravimetry-Fourier transform infrared spectroscopy (TG-FTIR). The influence on the decomposition of EP, such as the increase in char yield, is limited with the incorporation of OMMT; a large amount of the phosphorus is released into the gas phase. The flame-retardant effect evaluation based on cone calorimeter data testified that OMMT improves the protective-barrier effect of the fire residue of OMMT/TAD/EP on the macroscopic scale, while TAD mainly causes flame inhibition. The fire residues showed a corresponding macroscopic appearance (digital photo) and microstructure (scanning electron microscope [SEM] results). The protective barrier effect of OMMT and the flame-inhibition effect of TAD combined to exert a superior flame-retardant effect, resulting in sufficient flame-retardant performance of OMMT/TAD/EP.", "author" : [ { "dropping-particle" : "", "family" : "Tang", "given" : "Shuo", "non-dropping-particle" : "", "parse-names" : false, "suffix" : "" }, { "dropping-particle" : "", "family" : "Wachtendorf", "given" : "Volker", "non-dropping-particle" : "", "parse-names" : false, "suffix" : "" }, { "dropping-particle" : "", "family" : "Klack", "given" : "Patrick", "non-dropping-particle" : "", "parse-names" : false, "suffix" : "" }, { "dropping-particle" : "", "family" : "Qian", "given" : "Lijun", "non-dropping-particle" : "", "parse-names" : false, "suffix" : "" }, { "dropping-particle" : "", "family" : "Dong", "given" : "Yuping", "non-dropping-particle" : "", "parse-names" : false, "suffix" : "" }, { "dropping-particle" : "", "family" : "Schartel", "given" : "Bernhard", "non-dropping-particle" : "", "parse-names" : false, "suffix" : "" } ], "container-title" : "RSC Advances", "id" : "ITEM-1", "issue" : "2", "issued" : { "date-parts" : [ [ "2017", "1", "3" ] ] }, "page" : "720-728", "publisher" : "Royal Society of Chemistry", "title" : "Enhanced flame-retardant effect of a montmorillonite/phosphaphenanthrene compound in an epoxy thermoset", "type" : "article-journal", "volume" : "7" }, "uris" : [ "http://www.mendeley.com/documents/?uuid=a2ce7789-c36d-35c7-98f0-0a86f23d2711" ] } ], "mendeley" : { "formattedCitation" : "&lt;sup&gt;11&lt;/sup&gt;", "plainTextFormattedCitation" : "11", "previouslyFormattedCitation" : "&lt;sup&gt;11&lt;/sup&gt;" }, "properties" : {  }, "schema" : "https://github.com/citation-style-language/schema/raw/master/csl-citation.json" }</w:instrText>
      </w:r>
      <w:r w:rsidR="00841217">
        <w:fldChar w:fldCharType="separate"/>
      </w:r>
      <w:r w:rsidR="00841217" w:rsidRPr="00841217">
        <w:rPr>
          <w:noProof/>
          <w:vertAlign w:val="superscript"/>
        </w:rPr>
        <w:t>11</w:t>
      </w:r>
      <w:r w:rsidR="00841217">
        <w:fldChar w:fldCharType="end"/>
      </w:r>
      <w:r w:rsidR="00046E25">
        <w:t>. It is a natural 2-</w:t>
      </w:r>
      <w:r>
        <w:t>1 sheet phyllosilicate belonging to the family of smectites</w:t>
      </w:r>
      <w:r w:rsidR="00841217">
        <w:fldChar w:fldCharType="begin" w:fldLock="1"/>
      </w:r>
      <w:r w:rsidR="00841217">
        <w:instrText>ADDIN CSL_CITATION { "citationItems" : [ { "id" : "ITEM-1", "itemData" : { "DOI" : "10.1590/1679-78251399", "author" : [ { "dropping-particle" : "", "family" : "El-Sheikhy", "given" : "Refat", "non-dropping-particle" : "", "parse-names" : false, "suffix" : "" }, { "dropping-particle" : "", "family" : "Al-Shamrani", "given" : "Mosleh", "non-dropping-particle" : "", "parse-names" : false, "suffix" : "" } ], "container-title" : "Latin American Journal of Solids and Structures", "id" : "ITEM-1", "issue" : "2", "issued" : { "date-parts" : [ [ "2015", "4" ] ] }, "page" : "385-419", "publisher" : "Associa\u00e7\u00e3o Brasileira de Ci\u00eancias Mec\u00e2nicas", "title" : "On the Processing and Properties of Clay/Polymer Nanocomposites CPNC", "type" : "article-journal", "volume" : "12" }, "uris" : [ "http://www.mendeley.com/documents/?uuid=19b32e20-d473-3c70-9611-351741212725" ] } ], "mendeley" : { "formattedCitation" : "&lt;sup&gt;12&lt;/sup&gt;", "plainTextFormattedCitation" : "12", "previouslyFormattedCitation" : "&lt;sup&gt;12&lt;/sup&gt;" }, "properties" : {  }, "schema" : "https://github.com/citation-style-language/schema/raw/master/csl-citation.json" }</w:instrText>
      </w:r>
      <w:r w:rsidR="00841217">
        <w:fldChar w:fldCharType="separate"/>
      </w:r>
      <w:r w:rsidR="00841217" w:rsidRPr="00841217">
        <w:rPr>
          <w:noProof/>
          <w:vertAlign w:val="superscript"/>
        </w:rPr>
        <w:t>12</w:t>
      </w:r>
      <w:r w:rsidR="00841217">
        <w:fldChar w:fldCharType="end"/>
      </w:r>
      <w:r>
        <w:t>. Its importance relies on the fact that it can be organically modified introducing different functional groups within its structure</w:t>
      </w:r>
      <w:r w:rsidR="00841217">
        <w:fldChar w:fldCharType="begin" w:fldLock="1"/>
      </w:r>
      <w:r w:rsidR="00841217">
        <w:instrText>ADDIN CSL_CITATION { "citationItems" : [ { "id" : "ITEM-1", "itemData" : { "DOI" : "10.1007/978-981-10-1953-1_2", "abstract" : "Clays have been one of the more important industrial minerals; and with the recent advent of nanotechnology, they have found multifarious applications and in each application, nanoclays help to improve the quality of product, economize on the cost and saves environment. The chapter describes key characteristics of nanoclays and their classification on the basis of the arrangement of \u201csheets\u201d in their basic structural unit \u201clayer\u201d. Major groups include kaolin\u2013serpentine, pyrophyllite-talc, smectite, vermiculite, mica and Chlorite. The structural, morphological and physicochemical properties of halloystite and montmorillonite nanoclays, representative of the 1:1 and 2:1 layer groups, respectively, are discussed as well. After briefly introducing the surface modification of clay minerals by modifying or functionalizing their surfaces and their incorporation into polymer matrices to develop polymer/clay nanocomposites, techniques that are being employed to characterize these nanoclays, in general, and the sample preparation for these techniques, in particular, are also reviewed in this chapter.", "author" : [ { "dropping-particle" : "", "family" : "Nazir", "given" : "Muhammad Shahid", "non-dropping-particle" : "", "parse-names" : false, "suffix" : "" }, { "dropping-particle" : "", "family" : "Mohamad Kassim", "given" : "Mohamad Haafiz", "non-dropping-particle" : "", "parse-names" : false, "suffix" : "" }, { "dropping-particle" : "", "family" : "Mohapatra", "given" : "Lagnamayee", "non-dropping-particle" : "", "parse-names" : false, "suffix" : "" }, { "dropping-particle" : "", "family" : "Gilani", "given" : "Mazhar Amjad", "non-dropping-particle" : "", "parse-names" : false, "suffix" : "" }, { "dropping-particle" : "", "family" : "Raza", "given" : "Muhammad Rafi", "non-dropping-particle" : "", "parse-names" : false, "suffix" : "" }, { "dropping-particle" : "", "family" : "Majeed", "given" : "Khaliq", "non-dropping-particle" : "", "parse-names" : false, "suffix" : "" } ], "container-title" : "Nanoclay Reinforced Polymer Composites", "id" : "ITEM-1", "issued" : { "date-parts" : [ [ "2016" ] ] }, "page" : "35-55", "publisher" : "Springer, Singapore", "title" : "Characteristic Properties of Nanoclays and Characterization of Nanoparticulates and Nanocomposites", "type" : "chapter" }, "uris" : [ "http://www.mendeley.com/documents/?uuid=5ddf87f4-0ca2-301a-af0d-9178a84218c3" ] } ], "mendeley" : { "formattedCitation" : "&lt;sup&gt;13&lt;/sup&gt;", "plainTextFormattedCitation" : "13", "previouslyFormattedCitation" : "&lt;sup&gt;13&lt;/sup&gt;" }, "properties" : {  }, "schema" : "https://github.com/citation-style-language/schema/raw/master/csl-citation.json" }</w:instrText>
      </w:r>
      <w:r w:rsidR="00841217">
        <w:fldChar w:fldCharType="separate"/>
      </w:r>
      <w:r w:rsidR="00841217" w:rsidRPr="00841217">
        <w:rPr>
          <w:noProof/>
          <w:vertAlign w:val="superscript"/>
        </w:rPr>
        <w:t>13</w:t>
      </w:r>
      <w:r w:rsidR="00841217">
        <w:fldChar w:fldCharType="end"/>
      </w:r>
      <w:r>
        <w:t xml:space="preserve">. </w:t>
      </w:r>
      <w:r w:rsidR="00255651">
        <w:t>Another i</w:t>
      </w:r>
      <w:r>
        <w:t>nteresting approach to the to</w:t>
      </w:r>
      <w:r w:rsidR="00841217">
        <w:t xml:space="preserve">pic of fire proofing </w:t>
      </w:r>
      <w:r w:rsidR="00255651">
        <w:t>compounds, is the implementation is the implementation of nanocomposites</w:t>
      </w:r>
      <w:r w:rsidR="00841217">
        <w:fldChar w:fldCharType="begin" w:fldLock="1"/>
      </w:r>
      <w:r w:rsidR="00841217">
        <w:instrText>ADDIN CSL_CITATION { "citationItems" : [ { "id" : "ITEM-1", "itemData" : { "DOI" : "10.1002/fam.1018", "ISSN" : "03080501", "abstract" : "The objective of this paper is to know the fire performance of wooden panels (Pinus radiata) impregnated with silica nanoparticles added to silica/alkali colloidal solutions. Two series of impregnated panels were prepared with diverse penetrations and retentions (a) after drying/curing the impregnants at laboratory conditions until reaching constant weight and (b) after finishing this stage with prior distiller water immersion for seven days and a later air exposition for attaining moisture balance. Panels were tested in a limiting oxygen chamber and in a two-foot tunnel. Some results displayed a high fire-retardant efficiency. Copyright \u00a9 2009 John Wiley &amp; Sons, Ltd.", "author" : [ { "dropping-particle" : "", "family" : "Giudice", "given" : "Carlos A.", "non-dropping-particle" : "", "parse-names" : false, "suffix" : "" }, { "dropping-particle" : "", "family" : "Pereyra", "given" : "Andrea M.", "non-dropping-particle" : "", "parse-names" : false, "suffix" : "" } ], "container-title" : "Fire and Materials", "id" : "ITEM-1", "issue" : "4", "issued" : { "date-parts" : [ [ "2009", "6", "1" ] ] }, "page" : "n/a-n/a", "publisher" : "John Wiley &amp; Sons, Ltd", "title" : "Silica nanoparticles in high silica/alkali molar ratio solutions as fire-retardant impregnants for woods", "type" : "article-journal", "volume" : "34" }, "uris" : [ "http://www.mendeley.com/documents/?uuid=55c1ae96-0a07-379b-bb5b-609348b62441" ] } ], "mendeley" : { "formattedCitation" : "&lt;sup&gt;14&lt;/sup&gt;", "plainTextFormattedCitation" : "14", "previouslyFormattedCitation" : "&lt;sup&gt;14&lt;/sup&gt;" }, "properties" : {  }, "schema" : "https://github.com/citation-style-language/schema/raw/master/csl-citation.json" }</w:instrText>
      </w:r>
      <w:r w:rsidR="00841217">
        <w:fldChar w:fldCharType="separate"/>
      </w:r>
      <w:r w:rsidR="00841217" w:rsidRPr="00841217">
        <w:rPr>
          <w:noProof/>
          <w:vertAlign w:val="superscript"/>
        </w:rPr>
        <w:t>14</w:t>
      </w:r>
      <w:r w:rsidR="00841217">
        <w:fldChar w:fldCharType="end"/>
      </w:r>
      <w:r>
        <w:t>. Their main strength is the low amount needed to ameliorate the fireproofing character, owing to their large surface area</w:t>
      </w:r>
      <w:r w:rsidR="00841217">
        <w:fldChar w:fldCharType="begin" w:fldLock="1"/>
      </w:r>
      <w:r w:rsidR="00841217">
        <w:instrText>ADDIN CSL_CITATION { "citationItems" : [ { "id" : "ITEM-1", "itemData" : { "DOI" : "10.1016/B978-0-08-100411-1.00019-4", "ISBN" : "9780081004302", "abstract" : "Environmental issues, such as global warming, have been increasing, due to the rapid consumption of petrol-based resources. Therefore green composites based on natural fibers and biodegradable polymers have rapidly developed and have found wide applications as building and transport materials because of their high specific strength and eco-friendliness. However, compared with traditional materials like metal and ceramics, these plant fiber-based biocomposites are less thermally stable and much more flammable, due to their chemical structure features. Thus it is extremely necessary to enhance the thermal stability and flame retardancy to ensure their safe applications. This chapter focuses on discussing types of natural fibers, biopolymers, and currently available flame retardants, the thermal properties and flammability of natural fiber-based biocomposites and possible flame retardancy mechanisms. Although great advances have been made with regards to enhancing thermal stability and flame retardancy of these biocomposites, there are still some challenges to be addressed.", "author" : [ { "dropping-particle" : "", "family" : "Fu", "given" : "S.", "non-dropping-particle" : "", "parse-names" : false, "suffix" : "" }, { "dropping-particle" : "", "family" : "Song", "given" : "P.", "non-dropping-particle" : "", "parse-names" : false, "suffix" : "" }, { "dropping-particle" : "", "family" : "Liu", "given" : "X.", "non-dropping-particle" : "", "parse-names" : false, "suffix" : "" } ], "container-title" : "Advanced High Strength Natural Fibre Composites in Construction", "id" : "ITEM-1", "issued" : { "date-parts" : [ [ "2017", "1", "1" ] ] }, "page" : "479-508", "publisher" : "Elsevier Inc.", "title" : "Thermal and flame retardancy properties of thermoplastics/natural fiber biocomposites", "type" : "chapter" }, "uris" : [ "http://www.mendeley.com/documents/?uuid=e0eecf9f-fcc0-3a3b-9e07-9ca6191e7a9b" ] } ], "mendeley" : { "formattedCitation" : "&lt;sup&gt;15&lt;/sup&gt;", "plainTextFormattedCitation" : "15", "previouslyFormattedCitation" : "&lt;sup&gt;15&lt;/sup&gt;" }, "properties" : {  }, "schema" : "https://github.com/citation-style-language/schema/raw/master/csl-citation.json" }</w:instrText>
      </w:r>
      <w:r w:rsidR="00841217">
        <w:fldChar w:fldCharType="separate"/>
      </w:r>
      <w:r w:rsidR="00841217" w:rsidRPr="00841217">
        <w:rPr>
          <w:noProof/>
          <w:vertAlign w:val="superscript"/>
        </w:rPr>
        <w:t>15</w:t>
      </w:r>
      <w:r w:rsidR="00841217">
        <w:fldChar w:fldCharType="end"/>
      </w:r>
      <w:r>
        <w:t>. In this sense, the use of nanoclays and nanosilicates, especially dispersed in polymer matrices have been already reported, showing a good performance against fire</w:t>
      </w:r>
      <w:r w:rsidR="00841217">
        <w:fldChar w:fldCharType="begin" w:fldLock="1"/>
      </w:r>
      <w:r w:rsidR="00841217">
        <w:instrText>ADDIN CSL_CITATION { "citationItems" : [ { "id" : "ITEM-1", "itemData" : { "DOI" : "10.1016/b978-0-12-821381-0.00011-9", "author" : [ { "dropping-particle" : "", "family" : "Ali", "given" : "S. Wazed", "non-dropping-particle" : "", "parse-names" : false, "suffix" : "" }, { "dropping-particle" : "", "family" : "Basak", "given" : "Santanu", "non-dropping-particle" : "", "parse-names" : false, "suffix" : "" }, { "dropping-particle" : "", "family" : "Shukla", "given" : "Akshay", "non-dropping-particle" : "", "parse-names" : false, "suffix" : "" } ], "container-title" : "Handbook of Nanomaterials for Manufacturing Applications", "id" : "ITEM-1", "issued" : { "date-parts" : [ [ "2020", "1", "1" ] ] }, "page" : "265-278", "publisher" : "Elsevier", "title" : "Nanoparticles: a potential alternative to classical fire retardants for textile substrates", "type" : "chapter" }, "uris" : [ "http://www.mendeley.com/documents/?uuid=61aba8e0-376e-3e18-a6cc-fef951b54e66" ] }, { "id" : "ITEM-2", "itemData" : { "DOI" : "10.1016/b978-0-12-816783-0.00007-4", "author" : [ { "dropping-particle" : "", "family" : "Kausar", "given" : "Ayesha", "non-dropping-particle" : "", "parse-names" : false, "suffix" : "" } ], "container-title" : "Clay Nanoparticles", "id" : "ITEM-2", "issued" : { "date-parts" : [ [ "2020", "1", "1" ] ] }, "page" : "169-184", "publisher" : "Elsevier", "title" : "Flame retardant potential of clay nanoparticles", "type" : "chapter" }, "uris" : [ "http://www.mendeley.com/documents/?uuid=2fdc765f-b264-3fa1-b559-d6495077039f" ] } ], "mendeley" : { "formattedCitation" : "&lt;sup&gt;16,17&lt;/sup&gt;", "plainTextFormattedCitation" : "16,17", "previouslyFormattedCitation" : "&lt;sup&gt;16,17&lt;/sup&gt;" }, "properties" : {  }, "schema" : "https://github.com/citation-style-language/schema/raw/master/csl-citation.json" }</w:instrText>
      </w:r>
      <w:r w:rsidR="00841217">
        <w:fldChar w:fldCharType="separate"/>
      </w:r>
      <w:r w:rsidR="00841217" w:rsidRPr="00841217">
        <w:rPr>
          <w:noProof/>
          <w:vertAlign w:val="superscript"/>
        </w:rPr>
        <w:t>16,17</w:t>
      </w:r>
      <w:r w:rsidR="00841217">
        <w:fldChar w:fldCharType="end"/>
      </w:r>
      <w:r>
        <w:t>.</w:t>
      </w:r>
    </w:p>
    <w:p w14:paraId="5B1F86A3" w14:textId="5DE91ED3" w:rsidR="00CB30D7" w:rsidRDefault="00CB30D7" w:rsidP="00CB30D7">
      <w:pPr>
        <w:pStyle w:val="TAMainText"/>
      </w:pPr>
      <w:r>
        <w:t>In the protection of wood against fire, besides the selection of the proper fireproofing compounds, it is of significant importance the process to introduce those compounds into the wood structure (chemical modification of wood). One possibility is the inclusion of flame-retardant into the bulk structure of wood via impregnation. This treatment is associated with the introduction of the flame-retardant additives directly into the cell wall of wood</w:t>
      </w:r>
      <w:r w:rsidR="00841217">
        <w:fldChar w:fldCharType="begin" w:fldLock="1"/>
      </w:r>
      <w:r w:rsidR="00841217">
        <w:instrText>ADDIN CSL_CITATION { "citationItems" : [ { "id" : "ITEM-1", "itemData" : { "DOI" : "10.1016/j.jmrt.2019.10.035", "ISSN" : "22387854", "abstract" : "To improve the properties and added value of Chinese fir wood, sodium silicate-modified Chinese fir wood (SSMCF) was prepared by respiratory impregnation method. Phenol formaldehyde oligomer-modified Chinese fir wood (PFOMCF) as control sample, the impregnation and reinforcement effects, water resistance of PFOMCF and SSMCF were compared. The results showed that the weight percentage gain, density growth rate, bending strength, compressive strength, and dimensional stability of SSMCF were clearly higher than those of PFOMCF, and the SSMCF showed a lower water absorption rate within 60 h. The impregnation and reinforcement effects, for SSMCF were better than those for PFOMCF. FT-IR, XRD, CONE, and TGA examinations were used to analyze the chemical structure, crystalline structure, flame retardancy, and heat resistance of these modified woods. The results indicated that Si-O-Si chemical bonding with high bond energy was formed in SSMCF, and there are possessed more hydrogen bonds in SSMCF than PFOMCF and that Si-O-Si chemical bonding with high bond energy was formed. Meanwhile, the weakened degree of the diffraction peak of SSMCF was much less than that of PFOMCF. These results explained the better mechanical properties and water resistance of SSMCF. Compared with PFOMCF, SSMCF had lower heat release rate (HRR), peak-HRR, mean-HRR, total heat release, smoke production rate, and total smoke production, and showed higher thermal decomposition temperature and residual rate. Inorganic sodium silicate was shown to be a better flame retardant, while SSMCF had good smoke suppression effects, thermal stability, and safety performance in the case of fire.", "author" : [ { "dropping-particle" : "", "family" : "Li", "given" : "Ping", "non-dropping-particle" : "", "parse-names" : false, "suffix" : "" }, { "dropping-particle" : "", "family" : "Zhang", "given" : "Yuan", "non-dropping-particle" : "", "parse-names" : false, "suffix" : "" }, { "dropping-particle" : "", "family" : "Zuo", "given" : "Yingfeng", "non-dropping-particle" : "", "parse-names" : false, "suffix" : "" }, { "dropping-particle" : "", "family" : "Lu", "given" : "Jianxiong", "non-dropping-particle" : "", "parse-names" : false, "suffix" : "" }, { "dropping-particle" : "", "family" : "Yuan", "given" : "Guangming", "non-dropping-particle" : "", "parse-names" : false, "suffix" : "" }, { "dropping-particle" : "", "family" : "Wu", "given" : "Yiqiang", "non-dropping-particle" : "", "parse-names" : false, "suffix" : "" } ], "container-title" : "Journal of Materials Research and Technology", "id" : "ITEM-1", "issue" : "1", "issued" : { "date-parts" : [ [ "2020", "1", "1" ] ] }, "page" : "1043-1053", "publisher" : "Elsevier Editora Ltda", "title" : "Preparation and characterization of sodium silicate impregnated Chinese fir wood with high strength, water resistance, flame retardant and smoke suppression", "type" : "article", "volume" : "9" }, "uris" : [ "http://www.mendeley.com/documents/?uuid=095630d3-0bac-3e9e-8e67-f09378506a85" ] } ], "mendeley" : { "formattedCitation" : "&lt;sup&gt;18&lt;/sup&gt;", "plainTextFormattedCitation" : "18", "previouslyFormattedCitation" : "&lt;sup&gt;18&lt;/sup&gt;" }, "properties" : {  }, "schema" : "https://github.com/citation-style-language/schema/raw/master/csl-citation.json" }</w:instrText>
      </w:r>
      <w:r w:rsidR="00841217">
        <w:fldChar w:fldCharType="separate"/>
      </w:r>
      <w:r w:rsidR="00841217" w:rsidRPr="00841217">
        <w:rPr>
          <w:noProof/>
          <w:vertAlign w:val="superscript"/>
        </w:rPr>
        <w:t>18</w:t>
      </w:r>
      <w:r w:rsidR="00841217">
        <w:fldChar w:fldCharType="end"/>
      </w:r>
      <w:r>
        <w:t>. Another option is the modification of wood surface by the means of flame-retardants via coating</w:t>
      </w:r>
      <w:r w:rsidR="00841217">
        <w:fldChar w:fldCharType="begin" w:fldLock="1"/>
      </w:r>
      <w:r w:rsidR="00841217">
        <w:instrText>ADDIN CSL_CITATION { "citationItems" : [ { "id" : "ITEM-1", "itemData" : { "DOI" : "10.1021/acssuschemeng.9b02645", "ISSN" : "21680485", "abstract" : "The novel polybasic carboxylic acid (HCPVC) consisting of vanillin and hexachlorocyclotriphosphazene was synthesized successfully by the nucleophilic substitution reaction and the Pinnick oxidation. Fourier transform infrared spectroscopy (FTIR) and 1H nuclear magnetic resonance (1H NMR) were used to identify its chemical structure. HCPVC was used as a curing agent to employ in wood epoxy coating. The optimum curing condition of epoxy resin (DY-E44) with HCPVC and its apparent activation energy were determined by differential scanning calorimetry (DSC), and the results showed that it was suitable for utilizing in wood. After stepwise curing, the epoxy coatings cured with HCPVC presented excellent hardness, adhesion, water resistance, and solvent resistance. Meanwhile, HCPVC-EP exhibited the high char yield of 37.1% at 700 \u00b0C, as well as prominent flame retardancy with UL-94 V-0 rating and the higher LOI value of 30.7%, which are much higher than the common epoxy coatings and uncoated splines. Besides, the flame-retardant mechanisms of HCPVC-EP were investigated by scanning electron microscopy (SEM) after the UL-94 tests, and the consequence demonstrated that the formation of intumescent dense char layer restrained the further combustion and pyrolysis in the condensed phase. Meanwhile, the conclusion of thermogravimetric analysis/infrared spectrometry (TGA-FTIR) affirmed that HCPVC-EP released more inert gases during heating and suppressed in-depth decomposition in the gaseous phase.", "author" : [ { "dropping-particle" : "", "family" : "Huang", "given" : "Yishuai", "non-dropping-particle" : "", "parse-names" : false, "suffix" : "" }, { "dropping-particle" : "", "family" : "Ma", "given" : "Tongtong", "non-dropping-particle" : "", "parse-names" : false, "suffix" : "" }, { "dropping-particle" : "", "family" : "Wang", "given" : "Qingwen", "non-dropping-particle" : "", "parse-names" : false, "suffix" : "" }, { "dropping-particle" : "", "family" : "Guo", "given" : "Chuigen", "non-dropping-particle" : "", "parse-names" : false, "suffix" : "" } ], "container-title" : "ACS Sustainable Chemistry and Engineering", "id" : "ITEM-1", "issue" : "17", "issued" : { "date-parts" : [ [ "2019", "9", "3" ] ] }, "page" : "14727-14738", "publisher" : "American Chemical Society", "title" : "Synthesis of Biobased Flame-Retardant Carboxylic Acid Curing Agent and Application in Wood Surface Coating", "type" : "article-journal", "volume" : "7" }, "uris" : [ "http://www.mendeley.com/documents/?uuid=d912fab4-07dc-3ac8-bce9-f5d091f7c880" ] } ], "mendeley" : { "formattedCitation" : "&lt;sup&gt;19&lt;/sup&gt;", "plainTextFormattedCitation" : "19", "previouslyFormattedCitation" : "&lt;sup&gt;19&lt;/sup&gt;" }, "properties" : {  }, "schema" : "https://github.com/citation-style-language/schema/raw/master/csl-citation.json" }</w:instrText>
      </w:r>
      <w:r w:rsidR="00841217">
        <w:fldChar w:fldCharType="separate"/>
      </w:r>
      <w:r w:rsidR="00841217" w:rsidRPr="00841217">
        <w:rPr>
          <w:noProof/>
          <w:vertAlign w:val="superscript"/>
        </w:rPr>
        <w:t>19</w:t>
      </w:r>
      <w:r w:rsidR="00841217">
        <w:fldChar w:fldCharType="end"/>
      </w:r>
      <w:r>
        <w:t>. In particular, the use of fireproofing coatings is reported as one of the most effective ways to protect substrates against fire</w:t>
      </w:r>
      <w:r w:rsidR="00841217">
        <w:fldChar w:fldCharType="begin" w:fldLock="1"/>
      </w:r>
      <w:r w:rsidR="00841217">
        <w:instrText>ADDIN CSL_CITATION { "citationItems" : [ { "id" : "ITEM-1", "itemData" : { "DOI" : "10.3390/coatings9080483", "ISSN" : "2079-6412", "abstract" : "&lt;p&gt;This paper presents the heat release characteristics, char formation and fire protection performance of thin-film intumescent coatings that integrate eggshell (ES) as an innovative and renewable flame-retardant bio-filler. A cone calorimeter was used to determine the thermal behavior of the samples in the condensed phase in line with the ISO 5660-1 standard. The fire resistance of the coatings was evaluated using a Bunsen burner test to examine the equilibrium temperature and formation of the char layer. The fire propagation test was also conducted according to BS 476: Part 6. On exposure, the samples X, Y, and Z were qualified to be Class 0 materials due to the indexes of fire propagation being below 12. Samples Y and Z reinforced with 3.50 wt.% and 2.50 wt.% of ES bio-filler, respectively, showed a significant improvement in reducing the heat release rate, providing a more uniform and thicker char layer. As a result, the addition of bio-filler content has proven to be efficient in stopping the fire propagation as well as reducing the total heat released and equilibrium temperature of the intumescent coatings.&lt;/p&gt;", "author" : [ { "dropping-particle" : "", "family" : "Beh", "given" : "Jing Han", "non-dropping-particle" : "", "parse-names" : false, "suffix" : "" }, { "dropping-particle" : "", "family" : "Yew", "given" : "Ming Chian", "non-dropping-particle" : "", "parse-names" : false, "suffix" : "" }, { "dropping-particle" : "", "family" : "Yew", "given" : "Ming Kun", "non-dropping-particle" : "", "parse-names" : false, "suffix" : "" }, { "dropping-particle" : "", "family" : "Saw", "given" : "Lip Huat", "non-dropping-particle" : "", "parse-names" : false, "suffix" : "" } ], "container-title" : "Coatings", "id" : "ITEM-1", "issue" : "8", "issued" : { "date-parts" : [ [ "2019", "7", "31" ] ] }, "page" : "483", "publisher" : "Multidisciplinary Digital Publishing Institute", "title" : "Fire Protection Performance and Thermal Behavior of Thin Film Intumescent Coating", "type" : "article-journal", "volume" : "9" }, "uris" : [ "http://www.mendeley.com/documents/?uuid=bcc45723-6fef-305e-859b-67d6eb3dbc87" ] } ], "mendeley" : { "formattedCitation" : "&lt;sup&gt;20&lt;/sup&gt;", "plainTextFormattedCitation" : "20", "previouslyFormattedCitation" : "&lt;sup&gt;20&lt;/sup&gt;" }, "properties" : {  }, "schema" : "https://github.com/citation-style-language/schema/raw/master/csl-citation.json" }</w:instrText>
      </w:r>
      <w:r w:rsidR="00841217">
        <w:fldChar w:fldCharType="separate"/>
      </w:r>
      <w:r w:rsidR="00841217" w:rsidRPr="00841217">
        <w:rPr>
          <w:noProof/>
          <w:vertAlign w:val="superscript"/>
        </w:rPr>
        <w:t>20</w:t>
      </w:r>
      <w:r w:rsidR="00841217">
        <w:fldChar w:fldCharType="end"/>
      </w:r>
      <w:r>
        <w:t>. Its major advantage is the concentration of the fireproofing properties of the flame-retardant at the surface, which can allow the protection of the bulk of the material</w:t>
      </w:r>
      <w:r w:rsidR="00841217">
        <w:fldChar w:fldCharType="begin" w:fldLock="1"/>
      </w:r>
      <w:r w:rsidR="00841217">
        <w:instrText>ADDIN CSL_CITATION { "citationItems" : [ { "id" : "ITEM-1", "itemData" : { "DOI" : "10.1016/J.FIRESAF.2011.07.006", "ISSN" : "0379-7112", "abstract" : "The effects of inorganic tin compounds such as zinc hydroxystannate (ZHS), tin dioxide (SnO2), and tin monoxide (SnO), Sb2O3, and their mixtures on the flame retardant and smoke suppressant properties of flexible poly(vinyl chloride) (PVC), and their flame retardant and smoke suppressant actions, were studied using the limiting oxygen index (LOI) test, the smoke density rating (SDR) test, thermogravimetric analysis/differential thermogravimetry/differential thermal analysis (TGA/DTG/DTA), scanning electron microscopy (SEM), and quantitative analysis. The results showed that the incorporation of small amounts of inorganic tin compounds and their mixtures with Sb2O3 can increase the LOI of PVC and decrease the SDR during combustion. Partial replacement of Sb2O3 in flexible PVC by ZHS resulted in a significant synergistic improvement in flame retardant behavior. TGA/DTG/DTA, SEM, and quantitative analysis showed that ZHS acts as a flame retardant in the solid phase, Zn2+ can catalyze dehydrochlorination of PVC and promote early cross-linking, leading to rapid charring, and Sn4+ can react with the char, thereby increasing the char stability. These actions, combined with the vapor-phase role of Sb2O3, can significantly enhance the flame retardancy of PVC.", "author" : [ { "dropping-particle" : "", "family" : "Qu", "given" : "Hongqiang", "non-dropping-particle" : "", "parse-names" : false, "suffix" : "" }, { "dropping-particle" : "", "family" : "Wu", "given" : "Weihong", "non-dropping-particle" : "", "parse-names" : false, "suffix" : "" }, { "dropping-particle" : "", "family" : "Zheng", "given" : "Yanju", "non-dropping-particle" : "", "parse-names" : false, "suffix" : "" }, { "dropping-particle" : "", "family" : "Xie", "given" : "Jixing", "non-dropping-particle" : "", "parse-names" : false, "suffix" : "" }, { "dropping-particle" : "", "family" : "Xu", "given" : "Jianzhong", "non-dropping-particle" : "", "parse-names" : false, "suffix" : "" } ], "container-title" : "Fire Safety Journal", "id" : "ITEM-1", "issue" : "7", "issued" : { "date-parts" : [ [ "2011", "10", "1" ] ] }, "page" : "462-467", "publisher" : "Elsevier", "title" : "Synergistic effects of inorganic tin compounds and Sb2O3 on thermal properties and flame retardancy of flexible poly(vinyl chloride)", "type" : "article-journal", "volume" : "46" }, "uris" : [ "http://www.mendeley.com/documents/?uuid=f1309fa0-f867-388f-9ca8-bf5fb4521541" ] } ], "mendeley" : { "formattedCitation" : "&lt;sup&gt;21&lt;/sup&gt;", "plainTextFormattedCitation" : "21", "previouslyFormattedCitation" : "&lt;sup&gt;21&lt;/sup&gt;" }, "properties" : {  }, "schema" : "https://github.com/citation-style-language/schema/raw/master/csl-citation.json" }</w:instrText>
      </w:r>
      <w:r w:rsidR="00841217">
        <w:fldChar w:fldCharType="separate"/>
      </w:r>
      <w:r w:rsidR="00841217" w:rsidRPr="00841217">
        <w:rPr>
          <w:noProof/>
          <w:vertAlign w:val="superscript"/>
        </w:rPr>
        <w:t>21</w:t>
      </w:r>
      <w:r w:rsidR="00841217">
        <w:fldChar w:fldCharType="end"/>
      </w:r>
      <w:r>
        <w:t xml:space="preserve">. However, owing to the inherent </w:t>
      </w:r>
      <w:r>
        <w:lastRenderedPageBreak/>
        <w:t>porosity of the wood as a substrate, it is necessary to consider some morphological, physical and chemical aspects to achieve an effective application of protective products</w:t>
      </w:r>
      <w:r w:rsidR="00841217">
        <w:fldChar w:fldCharType="begin" w:fldLock="1"/>
      </w:r>
      <w:r w:rsidR="00841217">
        <w:instrText>ADDIN CSL_CITATION { "citationItems" : [ { "id" : "ITEM-1", "itemData" : { "author" : [ { "dropping-particle" : "", "family" : "Prieto", "given" : "J.", "non-dropping-particle" : "", "parse-names" : false, "suffix" : "" }, { "dropping-particle" : "", "family" : "Kiene", "given" : "J.", "non-dropping-particle" : "", "parse-names" : false, "suffix" : "" } ], "id" : "ITEM-1", "issued" : { "date-parts" : [ [ "2018" ] ] }, "publisher" : "European Coatings", "title" : "Wood Coatings : Chemistry and Practice", "type" : "book" }, "uris" : [ "http://www.mendeley.com/documents/?uuid=a33fb471-b665-334e-bd65-bca68360de14" ] } ], "mendeley" : { "formattedCitation" : "&lt;sup&gt;22&lt;/sup&gt;", "plainTextFormattedCitation" : "22", "previouslyFormattedCitation" : "&lt;sup&gt;22&lt;/sup&gt;" }, "properties" : {  }, "schema" : "https://github.com/citation-style-language/schema/raw/master/csl-citation.json" }</w:instrText>
      </w:r>
      <w:r w:rsidR="00841217">
        <w:fldChar w:fldCharType="separate"/>
      </w:r>
      <w:r w:rsidR="00841217" w:rsidRPr="00841217">
        <w:rPr>
          <w:noProof/>
          <w:vertAlign w:val="superscript"/>
        </w:rPr>
        <w:t>22</w:t>
      </w:r>
      <w:r w:rsidR="00841217">
        <w:fldChar w:fldCharType="end"/>
      </w:r>
      <w:r>
        <w:t>. On the one hand, the wood porosity and bulk density, which are inversely proportional, can significantly influence the adsorption and surface impregnability of coating products</w:t>
      </w:r>
      <w:r w:rsidR="00841217">
        <w:fldChar w:fldCharType="begin" w:fldLock="1"/>
      </w:r>
      <w:r w:rsidR="00841217">
        <w:instrText>ADDIN CSL_CITATION { "citationItems" : [ { "id" : "ITEM-1", "itemData" : { "DOI" : "10.1007/s00226-013-0568-1", "ISSN" : "00437719", "abstract" : "The main objective of this study was to evaluate the effect of sample preparation on cell-wall density and porosity using gas pycnometry. Native and thermally modified twin samples of Norway spruce (Picea abies (L.) Karst.), sycamore maple (Acer pseudoplatanus L.), and European ash (Fraxinus excelsior L.) were analyzed. The samples differed in terms of shape, geometry, and climatic state. On the one hand, the samples were oven dry as usual and, on the other hand, conditioned at 22 C and 95 % relative humidity. Furthermore, the samples were processed using solvent exchange drying. In addition to helium, nitrogen was used as a displacement gas. The tests show i.a. how this can lead to misinterpretation of the cell-wall density or porosity of wood determined by gas pycnometry. The results show that native spruce has a lower cell-wall density and higher porosity compared with native maple and ash. Due to thermal modification, the cell-wall densities are decreased. The investigations show that the determined cell-wall density and porosity of the wood are strongly dependent on the sample geometry and climatic state. The cell-wall densities of all investigated wood species in the conditioned state at 22 C and 95 % relative humidity are significantly higher compared with the oven-dry cell-wall densities. \u00a9 2013 Springer-Verlag Berlin Heidelberg.", "author" : [ { "dropping-particle" : "", "family" : "Zauer", "given" : "Mario", "non-dropping-particle" : "", "parse-names" : false, "suffix" : "" }, { "dropping-particle" : "", "family" : "Pfriem", "given" : "Alexander", "non-dropping-particle" : "", "parse-names" : false, "suffix" : "" }, { "dropping-particle" : "", "family" : "Wagenf\u00fchr", "given" : "Andr\u00e9", "non-dropping-particle" : "", "parse-names" : false, "suffix" : "" } ], "container-title" : "Wood Science and Technology", "id" : "ITEM-1", "issue" : "6", "issued" : { "date-parts" : [ [ "2013", "11", "6" ] ] }, "page" : "1197-1211", "publisher" : "Springer", "title" : "Toward improved understanding of the cell-wall density and porosity of wood determined by gas pycnometry", "type" : "article-journal", "volume" : "47" }, "uris" : [ "http://www.mendeley.com/documents/?uuid=2fdd6046-e37d-36a8-a880-35d821b27518" ] } ], "mendeley" : { "formattedCitation" : "&lt;sup&gt;23&lt;/sup&gt;", "plainTextFormattedCitation" : "23", "previouslyFormattedCitation" : "&lt;sup&gt;23&lt;/sup&gt;" }, "properties" : {  }, "schema" : "https://github.com/citation-style-language/schema/raw/master/csl-citation.json" }</w:instrText>
      </w:r>
      <w:r w:rsidR="00841217">
        <w:fldChar w:fldCharType="separate"/>
      </w:r>
      <w:r w:rsidR="00841217" w:rsidRPr="00841217">
        <w:rPr>
          <w:noProof/>
          <w:vertAlign w:val="superscript"/>
        </w:rPr>
        <w:t>23</w:t>
      </w:r>
      <w:r w:rsidR="00841217">
        <w:fldChar w:fldCharType="end"/>
      </w:r>
      <w:r>
        <w:t>. Dimensional variations of the wood (swelling and shrinkage) can also affect the coating performance in terms of decreasing adhesion or cracking. The pH value displays certain influence during the curing process and can result in discoloration of the coating or lower adhesions</w:t>
      </w:r>
      <w:r w:rsidR="00255651">
        <w:t xml:space="preserve"> as well</w:t>
      </w:r>
      <w:r>
        <w:t>. Furthermore, the wood substrate must have a moisture content about 8-12 % to avoid problems in the uniformity of the film formation and roughness of the coating</w:t>
      </w:r>
      <w:r w:rsidR="00841217">
        <w:fldChar w:fldCharType="begin" w:fldLock="1"/>
      </w:r>
      <w:r w:rsidR="00841217">
        <w:instrText>ADDIN CSL_CITATION { "citationItems" : [ { "id" : "ITEM-1", "itemData" : { "ISBN" : "9780080931609", "abstract" : "Wood Coatings addresses the factors responsible for the performance of wood coatings in both domestic and industrial situations. The term 'wood coatings' covers a broad range of products including stains, varnishes, paints and supporting ancillary products that may be used indoors or outdoors. Techniques for coating wood go back many centuries but in recent decades there has been a move towards more environmentally-friendly materials, for example, the use of water-borne rather than solvent-borne chemicals. A major objective of Wood Coatings is to explain the underlying factors that influence selection, application and general operational issues. Basic information on the chemistry and technology of coatings is included for the benefit of students and laboratory technicians. Additionally, the book includes individual chapters of interest to architects, specifiers, and industrial users. Markets for wood and wood coatings -- Wood and wood-based substrates -- Raw materials for wood coatings --Classification and formulation of wood coatings -- Properties of wood coatings -- Testing and characterisation -- Market needs and end uses (1) -- Architectural (decorative) wood coatings -- Market needs and end uses (2) -- Industrial wood coatings -- Operational aspects of wood coatings: application and surface preparation -- Film formation: drying and curing -- Film formation by evaporation of solvent from solution: physical drying.", "author" : [ { "dropping-particle" : "", "family" : "Bulian", "given" : "Franco.", "non-dropping-particle" : "", "parse-names" : false, "suffix" : "" }, { "dropping-particle" : "", "family" : "Graystone", "given" : "Jon.", "non-dropping-particle" : "", "parse-names" : false, "suffix" : "" } ], "id" : "ITEM-1", "issued" : { "date-parts" : [ [ "2009" ] ] }, "number-of-pages" : "320", "publisher" : "Elsevier Science", "title" : "Wood coatings : theory and practice", "type" : "book" }, "uris" : [ "http://www.mendeley.com/documents/?uuid=2de22bcb-26c8-399a-b64a-abcfffa2f230" ] } ], "mendeley" : { "formattedCitation" : "&lt;sup&gt;24&lt;/sup&gt;", "plainTextFormattedCitation" : "24", "previouslyFormattedCitation" : "&lt;sup&gt;24&lt;/sup&gt;" }, "properties" : {  }, "schema" : "https://github.com/citation-style-language/schema/raw/master/csl-citation.json" }</w:instrText>
      </w:r>
      <w:r w:rsidR="00841217">
        <w:fldChar w:fldCharType="separate"/>
      </w:r>
      <w:r w:rsidR="00841217" w:rsidRPr="00841217">
        <w:rPr>
          <w:noProof/>
          <w:vertAlign w:val="superscript"/>
        </w:rPr>
        <w:t>24</w:t>
      </w:r>
      <w:r w:rsidR="00841217">
        <w:fldChar w:fldCharType="end"/>
      </w:r>
      <w:r>
        <w:t>.</w:t>
      </w:r>
    </w:p>
    <w:p w14:paraId="637CFBB8" w14:textId="3C4FACC8" w:rsidR="00CB30D7" w:rsidRDefault="00CB30D7" w:rsidP="00CB30D7">
      <w:pPr>
        <w:pStyle w:val="TAMainText"/>
      </w:pPr>
      <w:r>
        <w:t>In the protection of wood by means of fireproofing coatings, there has been also an evolution as for the previously mentioned flame-retardants. Thereby it is known that traditionally, water-soluble silicates have been used as wood coating and impregnants, owing to their ability to melt and their intumescent effect</w:t>
      </w:r>
      <w:r w:rsidR="00841217">
        <w:fldChar w:fldCharType="begin" w:fldLock="1"/>
      </w:r>
      <w:r w:rsidR="00841217">
        <w:instrText>ADDIN CSL_CITATION { "citationItems" : [ { "id" : "ITEM-1", "itemData" : { "DOI" : "10.1007/BF00351250", "ISSN" : "00222461", "abstract" : "The constitution and structure of sodium phosphosilicate coatings were investigated by paper chromatography, X-ray diffraction, and infrared spectroscopy. All the tests performed indicated that heating phosphosilicate coating samples resulted in the polymerization of the silicate to crystalline silica (\u03b1-crystobalite) while the phosphate depolymerized. The extent of the depolymerization of the phosphate depended on the total Na2O in the phosphosilicate system. The assumption that the maximum quantity of Na2O in the phosphosilicate system, up to a molar ratio of 3:1 Na2O:P2O5, associates with the phosphate, gave a good estimate of the phosphate chain distribution in the phosphosilicate system. \u00a9 1993 Chapman &amp; Hall.", "author" : [ { "dropping-particle" : "", "family" : "Langille", "given" : "K. B.", "non-dropping-particle" : "", "parse-names" : false, "suffix" : "" }, { "dropping-particle" : "", "family" : "Nguyen", "given" : "D.", "non-dropping-particle" : "", "parse-names" : false, "suffix" : "" }, { "dropping-particle" : "", "family" : "Bernt", "given" : "J. O.", "non-dropping-particle" : "", "parse-names" : false, "suffix" : "" }, { "dropping-particle" : "", "family" : "Veinot", "given" : "D. E.", "non-dropping-particle" : "", "parse-names" : false, "suffix" : "" }, { "dropping-particle" : "", "family" : "Murthy", "given" : "M. K.", "non-dropping-particle" : "", "parse-names" : false, "suffix" : "" } ], "container-title" : "Journal of Materials Science", "id" : "ITEM-1", "issue" : "15", "issued" : { "date-parts" : [ [ "1993", "1", "15" ] ] }, "page" : "4175-4182", "publisher" : "Kluwer Academic Publishers", "title" : "Constitution and properties of phosphosilicate coatings - Part I Influence of sodium phosphates on the constitution of sodium silicate coatings", "type" : "article-journal", "volume" : "28" }, "uris" : [ "http://www.mendeley.com/documents/?uuid=c9a03e8c-21bd-3dcd-918e-1a2c29053873" ] } ], "mendeley" : { "formattedCitation" : "&lt;sup&gt;25&lt;/sup&gt;", "plainTextFormattedCitation" : "25", "previouslyFormattedCitation" : "&lt;sup&gt;25&lt;/sup&gt;" }, "properties" : {  }, "schema" : "https://github.com/citation-style-language/schema/raw/master/csl-citation.json" }</w:instrText>
      </w:r>
      <w:r w:rsidR="00841217">
        <w:fldChar w:fldCharType="separate"/>
      </w:r>
      <w:r w:rsidR="00841217" w:rsidRPr="00841217">
        <w:rPr>
          <w:noProof/>
          <w:vertAlign w:val="superscript"/>
        </w:rPr>
        <w:t>25</w:t>
      </w:r>
      <w:r w:rsidR="00841217">
        <w:fldChar w:fldCharType="end"/>
      </w:r>
      <w:r>
        <w:t>. However, nowadays wood coatings are designed to retard ignition and rate of burn rather than to provide the fire-resistive barrier which is more typical for other materials</w:t>
      </w:r>
      <w:r w:rsidR="00841217">
        <w:fldChar w:fldCharType="begin" w:fldLock="1"/>
      </w:r>
      <w:r w:rsidR="00841217">
        <w:instrText>ADDIN CSL_CITATION { "citationItems" : [ { "id" : "ITEM-1", "itemData" : { "DOI" : "10.1007/s10694-015-0497-7", "ISSN" : "15728099", "author" : [ { "dropping-particle" : "", "family" : "White", "given" : "R. H.", "non-dropping-particle" : "", "parse-names" : false, "suffix" : "" }, { "dropping-particle" : "", "family" : "Dietenberger", "given" : "M. A.", "non-dropping-particle" : "", "parse-names" : false, "suffix" : "" } ], "container-title" : "Wood handbook: wood as an engineering material", "edition" : "Centennial ed. ", "id" : "ITEM-1", "issue" : "6", "issued" : { "date-parts" : [ [ "2010", "11", "1" ] ] }, "page" : "18.1-18.22", "publisher" : "US Dept. of Agriculture, Forest Service, Forest Products Laboratory", "title" : "Fire safety of wood construction.", "type" : "chapter" }, "uris" : [ "http://www.mendeley.com/documents/?uuid=46eac2db-8622-301a-9335-7e16b12d05e6" ] }, { "id" : "ITEM-2", "itemData" : { "DOI" : "10.1177/0734904110395469", "ISSN" : "0734-9041", "abstract" : "This review covers mainly intumescent coatings, with briefer discussions of non-intumescent organic fire-resistive coatings and cementitious inorganic coatings. Emphasis is placed on the more recent developments, and the more recent patent literature is surveyed. Modeling and optimizing are covered both from basic and applied aspects. The chemistry of the production of a foamed char barrier is discussed. Enhancing the performance by adjuvants and choice of binders is shown to be possible. The important interactions of ammonium polyphosphate with other components such as titanium dioxide are described. Testing is briefly discussed, as are some shortcomings of present-day coatings, such as limited water resistance, and some opportunities for improvement. \u00a9 The Author(s), 2011.", "author" : [ { "dropping-particle" : "", "family" : "Weil", "given" : "Edward D.", "non-dropping-particle" : "", "parse-names" : false, "suffix" : "" } ], "container-title" : "Journal of Fire Sciences", "id" : "ITEM-2", "issue" : "3", "issued" : { "date-parts" : [ [ "2011", "5", "11" ] ] }, "page" : "259-296", "publisher" : "SAGE PublicationsSage UK: London, England", "title" : "Fire-Protective and Flame-Retardant Coatings - A State-of-the-Art Review", "type" : "article-journal", "volume" : "29" }, "uris" : [ "http://www.mendeley.com/documents/?uuid=c7cdb92f-b9be-32dd-b3f0-a4e375909804" ] } ], "mendeley" : { "formattedCitation" : "&lt;sup&gt;26,27&lt;/sup&gt;", "plainTextFormattedCitation" : "26,27", "previouslyFormattedCitation" : "&lt;sup&gt;26,27&lt;/sup&gt;" }, "properties" : {  }, "schema" : "https://github.com/citation-style-language/schema/raw/master/csl-citation.json" }</w:instrText>
      </w:r>
      <w:r w:rsidR="00841217">
        <w:fldChar w:fldCharType="separate"/>
      </w:r>
      <w:r w:rsidR="00841217" w:rsidRPr="00841217">
        <w:rPr>
          <w:noProof/>
          <w:vertAlign w:val="superscript"/>
        </w:rPr>
        <w:t>26,27</w:t>
      </w:r>
      <w:r w:rsidR="00841217">
        <w:fldChar w:fldCharType="end"/>
      </w:r>
      <w:r>
        <w:t>. These coatings are generally based on different synthetic polymers. For instance, epoxy and melamine formaldehyde resins, which are derived from partial esters of polyols</w:t>
      </w:r>
      <w:r w:rsidR="00841217">
        <w:fldChar w:fldCharType="begin" w:fldLock="1"/>
      </w:r>
      <w:r w:rsidR="00841217">
        <w:instrText>ADDIN CSL_CITATION { "citationItems" : [ { "id" : "ITEM-1", "itemData" : { "DOI" : "10.1007/s11998-013-9524-0", "ISSN" : "15470091", "abstract" : "Highly functional sucrose soyate polyol (SSP) resins were synthesized by ring-opening epoxidized sucrose soyate with methanol or ethanol and were subsequently crosslinked with a melamine-formaldehyde (MF) resin in the presence of an acid catalyst or blocked acid catalyst. The biobased polyols were characterized by Fourier transform infrared spectroscopy, gel permeation chromatography, proton nuclear magnetic resonance spectroscopy, Brookfield viscosity, and matrix-assisted laser desorption/ionization time-of-flight mass spectrometry. The thermal properties of the biobased MF coatings were studied using differential scanning calorimetry and dynamic mechanical analysis. As controls, a soybean oil polyol (SBOP) with lower functionality and a commercial polyester polyol were studied for comparison. Overall, MF coatings formulated with SSPs showed superior properties to coatings formulated with SBOP and comparable properties to the commercial polyester which was attributed to the high hydroxyl functionality. \u00a9 2013 American Coatings Association &amp; Oil and Colour Chemists' Association.", "author" : [ { "dropping-particle" : "", "family" : "Nelson", "given" : "Thomas J.", "non-dropping-particle" : "", "parse-names" : false, "suffix" : "" }, { "dropping-particle" : "", "family" : "Masaki", "given" : "Bryan", "non-dropping-particle" : "", "parse-names" : false, "suffix" : "" }, { "dropping-particle" : "", "family" : "Morseth", "given" : "Zachary", "non-dropping-particle" : "", "parse-names" : false, "suffix" : "" }, { "dropping-particle" : "", "family" : "Webster", "given" : "Dean C.", "non-dropping-particle" : "", "parse-names" : false, "suffix" : "" } ], "container-title" : "Journal of Coatings Technology and Research", "id" : "ITEM-1", "issue" : "6", "issued" : { "date-parts" : [ [ "2013", "9", "4" ] ] }, "page" : "757-767", "publisher" : "Springer New York LLC", "title" : "Highly functional biobased polyols and their use in melamine-formaldehyde coatings", "type" : "article-journal", "volume" : "10" }, "uris" : [ "http://www.mendeley.com/documents/?uuid=3b370487-b36a-3f2b-bfdc-117490014c5e" ] } ], "mendeley" : { "formattedCitation" : "&lt;sup&gt;28&lt;/sup&gt;", "plainTextFormattedCitation" : "28", "previouslyFormattedCitation" : "&lt;sup&gt;28&lt;/sup&gt;" }, "properties" : {  }, "schema" : "https://github.com/citation-style-language/schema/raw/master/csl-citation.json" }</w:instrText>
      </w:r>
      <w:r w:rsidR="00841217">
        <w:fldChar w:fldCharType="separate"/>
      </w:r>
      <w:r w:rsidR="00841217" w:rsidRPr="00841217">
        <w:rPr>
          <w:noProof/>
          <w:vertAlign w:val="superscript"/>
        </w:rPr>
        <w:t>28</w:t>
      </w:r>
      <w:r w:rsidR="00841217">
        <w:fldChar w:fldCharType="end"/>
      </w:r>
      <w:r>
        <w:t xml:space="preserve">, can be combined with different flame-retardant compounds. </w:t>
      </w:r>
      <w:r w:rsidR="00255651">
        <w:t>In fact</w:t>
      </w:r>
      <w:r>
        <w:t>, the combination of</w:t>
      </w:r>
      <w:r w:rsidR="00255651">
        <w:t xml:space="preserve"> these type of polymers</w:t>
      </w:r>
      <w:r>
        <w:t xml:space="preserve"> </w:t>
      </w:r>
      <w:r w:rsidR="00255651">
        <w:t xml:space="preserve">with </w:t>
      </w:r>
      <w:r>
        <w:t xml:space="preserve">phosphate and borate </w:t>
      </w:r>
      <w:r w:rsidR="00255651">
        <w:t>derivatives has already been described in the literature</w:t>
      </w:r>
      <w:r w:rsidR="005A18FE">
        <w:fldChar w:fldCharType="begin" w:fldLock="1"/>
      </w:r>
      <w:r w:rsidR="005A18FE">
        <w:instrText>ADDIN CSL_CITATION { "citationItems" : [ { "id" : "ITEM-1", "itemData" : { "DOI" : "10.1177/0734904110395469", "ISSN" : "0734-9041", "abstract" : "This review covers mainly intumescent coatings, with briefer discussions of non-intumescent organic fire-resistive coatings and cementitious inorganic coatings. Emphasis is placed on the more recent developments, and the more recent patent literature is surveyed. Modeling and optimizing are covered both from basic and applied aspects. The chemistry of the production of a foamed char barrier is discussed. Enhancing the performance by adjuvants and choice of binders is shown to be possible. The important interactions of ammonium polyphosphate with other components such as titanium dioxide are described. Testing is briefly discussed, as are some shortcomings of present-day coatings, such as limited water resistance, and some opportunities for improvement. \u00a9 The Author(s), 2011.", "author" : [ { "dropping-particle" : "", "family" : "Weil", "given" : "Edward D.", "non-dropping-particle" : "", "parse-names" : false, "suffix" : "" } ], "container-title" : "Journal of Fire Sciences", "id" : "ITEM-1", "issue" : "3", "issued" : { "date-parts" : [ [ "2011", "5", "11" ] ] }, "page" : "259-296", "publisher" : "SAGE PublicationsSage UK: London, England", "title" : "Fire-Protective and Flame-Retardant Coatings - A State-of-the-Art Review", "type" : "article-journal", "volume" : "29" }, "uris" : [ "http://www.mendeley.com/documents/?uuid=c7cdb92f-b9be-32dd-b3f0-a4e375909804" ] }, { "id" : "ITEM-2", "itemData" : { "DOI" : "10.1016/j.surfcoat.2006.01.026", "ISSN" : "02578972", "abstract" : "The aim of this work is to study the efficiency of different intumescent formulations designed to protect steel in the case of hydrocarbon fire. The coating is based on a thermoset epoxy-amine resin system into which fire retardant agents, boric acid and ammonium polyphosphate derivative have been incorporated. The first part of the study evaluates, using large scale industrial furnace tests, the behavior of the thermoset resin containing alone or in combination with additives. It is revealed that in this epoxy resin, the combination between ammonium polyphosphate and boric acid leads to the best protective results. The second part of the study attempts to investigate more precisely the effect and the mode of action of the additives in terms of thermal stability, mechanical resistance and rheological properties using small scale lab tests, to explain why this combination works better than using the two fire retardants used separately. The experiments show that this combination leads to the smallest decrease of viscosity when the resin degrades, the highest mechanical resistance and the highest expansion. \u00a9 2006 Elsevier B.V. All rights reserved.", "author" : [ { "dropping-particle" : "", "family" : "Jimenez", "given" : "M.", "non-dropping-particle" : "", "parse-names" : false, "suffix" : "" }, { "dropping-particle" : "", "family" : "Duquesne", "given" : "S.", "non-dropping-particle" : "", "parse-names" : false, "suffix" : "" }, { "dropping-particle" : "", "family" : "Bourbigot", "given" : "S.", "non-dropping-particle" : "", "parse-names" : false, "suffix" : "" } ], "container-title" : "Surface and Coatings Technology", "id" : "ITEM-2", "issue" : "3-4", "issued" : { "date-parts" : [ [ "2006", "10", "5" ] ] }, "page" : "979-987", "publisher" : "Elsevier", "title" : "Characterization of the performance of an intumescent fire protective coating", "type" : "article-journal", "volume" : "201" }, "uris" : [ "http://www.mendeley.com/documents/?uuid=d5722261-4cfa-31b7-b661-b284f76739e0" ] } ], "mendeley" : { "formattedCitation" : "&lt;sup&gt;27,29&lt;/sup&gt;", "plainTextFormattedCitation" : "27,29", "previouslyFormattedCitation" : "&lt;sup&gt;27,29&lt;/sup&gt;" }, "properties" : {  }, "schema" : "https://github.com/citation-style-language/schema/raw/master/csl-citation.json" }</w:instrText>
      </w:r>
      <w:r w:rsidR="005A18FE">
        <w:fldChar w:fldCharType="separate"/>
      </w:r>
      <w:r w:rsidR="005A18FE" w:rsidRPr="005A18FE">
        <w:rPr>
          <w:noProof/>
          <w:vertAlign w:val="superscript"/>
        </w:rPr>
        <w:t>27,29</w:t>
      </w:r>
      <w:r w:rsidR="005A18FE">
        <w:fldChar w:fldCharType="end"/>
      </w:r>
      <w:r>
        <w:t>. Concerning the application of silicon-based compounds in wood coatings, there are several works within the literature and the industry: the use of a butyl acrylate-based formulation incorporating some organically modified montmorillonite clay</w:t>
      </w:r>
      <w:r w:rsidR="005A18FE">
        <w:fldChar w:fldCharType="begin" w:fldLock="1"/>
      </w:r>
      <w:r w:rsidR="005A18FE">
        <w:instrText>ADDIN CSL_CITATION { "citationItems" : [ { "id" : "ITEM-1", "itemData" : { "author" : [ { "dropping-particle" : "", "family" : "Streitberger", "given" : "H. J.", "non-dropping-particle" : "", "parse-names" : false, "suffix" : "" }, { "dropping-particle" : "", "family" : "Goldschmidt", "given" : "A.", "non-dropping-particle" : "", "parse-names" : false, "suffix" : "" } ], "edition" : "3rd", "id" : "ITEM-1", "issued" : { "date-parts" : [ [ "2018" ] ] }, "publisher" : "European Coatings", "title" : "BASF Handbook Basics of Coating Technology", "type" : "book" }, "uris" : [ "http://www.mendeley.com/documents/?uuid=bb3c5dd8-29a6-355b-8c46-ad309b8bcd37" ] } ], "mendeley" : { "formattedCitation" : "&lt;sup&gt;30&lt;/sup&gt;", "plainTextFormattedCitation" : "30", "previouslyFormattedCitation" : "&lt;sup&gt;30&lt;/sup&gt;" }, "properties" : {  }, "schema" : "https://github.com/citation-style-language/schema/raw/master/csl-citation.json" }</w:instrText>
      </w:r>
      <w:r w:rsidR="005A18FE">
        <w:fldChar w:fldCharType="separate"/>
      </w:r>
      <w:r w:rsidR="005A18FE" w:rsidRPr="005A18FE">
        <w:rPr>
          <w:noProof/>
          <w:vertAlign w:val="superscript"/>
        </w:rPr>
        <w:t>30</w:t>
      </w:r>
      <w:r w:rsidR="005A18FE">
        <w:fldChar w:fldCharType="end"/>
      </w:r>
      <w:r>
        <w:t xml:space="preserve"> or the elaboration of silicone coatings with dispersed carbon nanotubes based on an acrylonitrile synthetic rubber</w:t>
      </w:r>
      <w:r w:rsidR="005A18FE">
        <w:fldChar w:fldCharType="begin" w:fldLock="1"/>
      </w:r>
      <w:r w:rsidR="005A18FE">
        <w:instrText>ADDIN CSL_CITATION { "citationItems" : [ { "id" : "ITEM-1", "itemData" : { "DOI" : "10.1007/s10973-013-2949-y", "ISSN" : "13886150", "abstract" : "Pristine multiwalled carbon nanotubes (MWCNTs) were impregnated in acrylonitrile butadiene rubber (NBR) using internal dispersion kneader and two roller mixing mill to investigate the effects of various nanotubes concentrations on the thermal transport/stability of rubber nanocomposites. Thermal conductivity (\u03bb N) and thermal impedance (R) measurement experimental setups were established according to ASTM E1225-99 and D5470-03. The 1 mass % addition of MWCNTs in the polymer matrix has enhanced R up to 44 % and reduced \u03bb N of the rubber nanocomposite up to 40 % compare to the base composite formulation. Thermal decomposition and differential thermal analyses of the fabricated composite specimens simulate that the thermal stability and endothermic capability are augmented with increasing the nanotubes contents in the host matrix. The progressive incorporations of carbon nanotubes into the rubber matrix have efficiently influenced the composite specimens regarding glass transition, crystallization, and melting temperatures including their specific enthalpies. Scanning electron microscopy along with the energy dispersive spectroscopy was used to analyze MWCNTs dispersion in NBR matrix, compositional analysis of the nanocomposite, and impregnated nanotubes. \u00a9 2013 Akad\u00e9miai Kiad\u00f3, Budapest, Hungary.", "author" : [ { "dropping-particle" : "", "family" : "Sagar", "given" : "Sadia", "non-dropping-particle" : "", "parse-names" : false, "suffix" : "" }, { "dropping-particle" : "", "family" : "Iqbal", "given" : "Nadeem", "non-dropping-particle" : "", "parse-names" : false, "suffix" : "" }, { "dropping-particle" : "", "family" : "Maqsood", "given" : "Asghari", "non-dropping-particle" : "", "parse-names" : false, "suffix" : "" }, { "dropping-particle" : "", "family" : "Javaid", "given" : "Umair", "non-dropping-particle" : "", "parse-names" : false, "suffix" : "" } ], "container-title" : "Journal of Thermal Analysis and Calorimetry", "id" : "ITEM-1", "issue" : "1", "issued" : { "date-parts" : [ [ "2013", "10", "16" ] ] }, "page" : "161-167", "publisher" : "Springer", "title" : "Thermogravimetric, differential scanning calorimetric and experimental thermal transport study of MWCNT/NBR nanocomposites", "type" : "article-journal", "volume" : "114" }, "uris" : [ "http://www.mendeley.com/documents/?uuid=99f71408-60e4-3e48-9e78-71b5fe7452d6" ] } ], "mendeley" : { "formattedCitation" : "&lt;sup&gt;31&lt;/sup&gt;", "plainTextFormattedCitation" : "31", "previouslyFormattedCitation" : "&lt;sup&gt;31&lt;/sup&gt;" }, "properties" : {  }, "schema" : "https://github.com/citation-style-language/schema/raw/master/csl-citation.json" }</w:instrText>
      </w:r>
      <w:r w:rsidR="005A18FE">
        <w:fldChar w:fldCharType="separate"/>
      </w:r>
      <w:r w:rsidR="005A18FE" w:rsidRPr="005A18FE">
        <w:rPr>
          <w:noProof/>
          <w:vertAlign w:val="superscript"/>
        </w:rPr>
        <w:t>31</w:t>
      </w:r>
      <w:r w:rsidR="005A18FE">
        <w:fldChar w:fldCharType="end"/>
      </w:r>
      <w:r>
        <w:t xml:space="preserve">. Other state-of-the-art works have been also presented in the recent </w:t>
      </w:r>
      <w:r>
        <w:lastRenderedPageBreak/>
        <w:t>years such as the use of transparent UV-curable coatings from phosphazene-based compounds</w:t>
      </w:r>
      <w:r w:rsidR="005A18FE">
        <w:fldChar w:fldCharType="begin" w:fldLock="1"/>
      </w:r>
      <w:r w:rsidR="005A18FE">
        <w:instrText>ADDIN CSL_CITATION { "citationItems" : [ { "id" : "ITEM-1", "itemData" : { "author" : [ { "dropping-particle" : "", "family" : "Liu", "given" : "R", "non-dropping-particle" : "", "parse-names" : false, "suffix" : "" }, { "dropping-particle" : "", "family" : "Wang", "given" : "X", "non-dropping-particle" : "", "parse-names" : false, "suffix" : "" } ], "container-title" : "Polymer degradation and stability", "id" : "ITEM-1", "issue" : "4", "issued" : { "date-parts" : [ [ "2009" ] ] }, "page" : "617-624", "title" : "Synthesis, characterization, thermal properties and flame retardancy of a novel nonflammable phosphazene-based epoxy resin", "type" : "article-journal", "volume" : "94" }, "uris" : [ "http://www.mendeley.com/documents/?uuid=482c1daa-468c-30e1-b3cb-534b7849bba9" ] } ], "mendeley" : { "formattedCitation" : "&lt;sup&gt;32&lt;/sup&gt;", "plainTextFormattedCitation" : "32", "previouslyFormattedCitation" : "&lt;sup&gt;32&lt;/sup&gt;" }, "properties" : {  }, "schema" : "https://github.com/citation-style-language/schema/raw/master/csl-citation.json" }</w:instrText>
      </w:r>
      <w:r w:rsidR="005A18FE">
        <w:fldChar w:fldCharType="separate"/>
      </w:r>
      <w:r w:rsidR="005A18FE" w:rsidRPr="005A18FE">
        <w:rPr>
          <w:noProof/>
          <w:vertAlign w:val="superscript"/>
        </w:rPr>
        <w:t>32</w:t>
      </w:r>
      <w:r w:rsidR="005A18FE">
        <w:fldChar w:fldCharType="end"/>
      </w:r>
      <w:r>
        <w:t xml:space="preserve"> or the addition of nanoparticles as clay nanopowder from montmorillonite and cellulose nanofibers</w:t>
      </w:r>
      <w:r w:rsidR="005A18FE">
        <w:fldChar w:fldCharType="begin" w:fldLock="1"/>
      </w:r>
      <w:r w:rsidR="005A18FE">
        <w:instrText>ADDIN CSL_CITATION { "citationItems" : [ { "id" : "ITEM-1", "itemData" : { "DOI" : "10.1002/app.28518", "ISSN" : "00218995", "abstract" : "Polyurethane coatings are highly flammable, and because of their widespread applications on different substrates (wood, steel, and building materials), there is a need to increase their fire-safety properties. Intumescent additives sharply suppress the flammability properties of polyurethane coatings. Two problems accompany intumescent additives: their high loading percentage and incompatibility with polyurethane coatings. In this research, we succeeded in increasing the compatibility by mixing intumescent additives with a butyl acrylate polymer and in lowering the flame-retardant additive loading (up to 20%) by incorporating newly modified montmorillonite. The flammability properties of the new intumescent coatings were characterized with a cone calorimeter. \u00a9 2008 Wiley Periodicals, Inc.", "author" : [ { "dropping-particle" : "", "family" : "Hassan", "given" : "M. A.", "non-dropping-particle" : "", "parse-names" : false, "suffix" : "" }, { "dropping-particle" : "", "family" : "Kozlowski", "given" : "Ryszard", "non-dropping-particle" : "", "parse-names" : false, "suffix" : "" }, { "dropping-particle" : "", "family" : "Obidzinski", "given" : "Bartoz", "non-dropping-particle" : "", "parse-names" : false, "suffix" : "" } ], "container-title" : "Journal of Applied Polymer Science", "id" : "ITEM-1", "issue" : "1", "issued" : { "date-parts" : [ [ "2008", "10", "5" ] ] }, "page" : "83-90", "title" : "New fire-protective intumescent coatings for wood", "type" : "article-journal", "volume" : "110" }, "uris" : [ "http://www.mendeley.com/documents/?uuid=72922dd9-f5df-3a94-8fa0-e966be26398d" ] } ], "mendeley" : { "formattedCitation" : "&lt;sup&gt;33&lt;/sup&gt;", "plainTextFormattedCitation" : "33", "previouslyFormattedCitation" : "&lt;sup&gt;33&lt;/sup&gt;" }, "properties" : {  }, "schema" : "https://github.com/citation-style-language/schema/raw/master/csl-citation.json" }</w:instrText>
      </w:r>
      <w:r w:rsidR="005A18FE">
        <w:fldChar w:fldCharType="separate"/>
      </w:r>
      <w:r w:rsidR="005A18FE" w:rsidRPr="005A18FE">
        <w:rPr>
          <w:noProof/>
          <w:vertAlign w:val="superscript"/>
        </w:rPr>
        <w:t>33</w:t>
      </w:r>
      <w:r w:rsidR="005A18FE">
        <w:fldChar w:fldCharType="end"/>
      </w:r>
      <w:r>
        <w:t xml:space="preserve"> for the elaboration of organic-inorganic hybrid coatings based on polyurethanes</w:t>
      </w:r>
      <w:r w:rsidR="005A18FE">
        <w:fldChar w:fldCharType="begin" w:fldLock="1"/>
      </w:r>
      <w:r w:rsidR="005A18FE">
        <w:instrText>ADDIN CSL_CITATION { "citationItems" : [ { "id" : "ITEM-1", "itemData" : { "DOI" : "10.1016/j.matchemphys.2015.07.020", "ISSN" : "02540584", "abstract" : "Nano-architecture on the flexible polyurethane foam (FPUF) was built by layer by layer (LbL) self-assembling of \u03b1-zirconium phosphate (\u03b1-ZrP) and two biopolymers. Through electrostatic attraction and hydrogen bonding between \u03b1-ZrP, chitosan and alginate, the nano-coatings were successfully deposited on the substrate. The LbL self-assembly coatings were characterized by X-ray diffraction, UV-vis absorption spectroscopy, attenuated total reflection Fourier transform infrared spectroscopy and scanning electron microscopy. This loaded nano-coating endowed FPUF with excellent flame retardancy. Compared with pure FPUF, the reduction in the peak heat release rate of the modified foam with 12.3 wt% weight gain was achieved 71%, and the melt-dripping during combustion disappeared. Meanwhile, the thermal degradation of coated FPUF under nitrogen atmosphere was obviously retarded compared with pure FPUF. Additionally, the mechanical properties of the treated FPUFs were investigated. After loaded with 12.3 wt% nano-coating, the tensile and tear strength were enhanced by 13% and 54%, respectively. These investigations indicated that the study has great potential to add new dimensions in the fire retardancy modification of FPUF.", "author" : [ { "dropping-particle" : "", "family" : "Pan", "given" : "Ying", "non-dropping-particle" : "", "parse-names" : false, "suffix" : "" }, { "dropping-particle" : "", "family" : "Pan", "given" : "Haifeng", "non-dropping-particle" : "", "parse-names" : false, "suffix" : "" }, { "dropping-particle" : "", "family" : "Yuan", "given" : "Bihe", "non-dropping-particle" : "", "parse-names" : false, "suffix" : "" }, { "dropping-particle" : "", "family" : "Hong", "given" : "Ningning", "non-dropping-particle" : "", "parse-names" : false, "suffix" : "" }, { "dropping-particle" : "", "family" : "Zhan", "given" : "Jing", "non-dropping-particle" : "", "parse-names" : false, "suffix" : "" }, { "dropping-particle" : "", "family" : "Wang", "given" : "Bibo", "non-dropping-particle" : "", "parse-names" : false, "suffix" : "" }, { "dropping-particle" : "", "family" : "Song", "given" : "Lei", "non-dropping-particle" : "", "parse-names" : false, "suffix" : "" }, { "dropping-particle" : "", "family" : "Hu", "given" : "Yuan", "non-dropping-particle" : "", "parse-names" : false, "suffix" : "" } ], "container-title" : "Materials Chemistry and Physics", "id" : "ITEM-1", "issued" : { "date-parts" : [ [ "2015", "8", "1" ] ] }, "page" : "107-115", "publisher" : "Elsevier Ltd", "title" : "Construction of organic-inorganic hybrid nano-coatings containing \u03b1-zirconium phosphate with high efficiency for reducing fire hazards of flexible polyurethane foam", "type" : "article-journal", "volume" : "163" }, "uris" : [ "http://www.mendeley.com/documents/?uuid=b16799a2-994f-3465-8754-42725d85b62e" ] } ], "mendeley" : { "formattedCitation" : "&lt;sup&gt;34&lt;/sup&gt;", "plainTextFormattedCitation" : "34", "previouslyFormattedCitation" : "&lt;sup&gt;34&lt;/sup&gt;" }, "properties" : {  }, "schema" : "https://github.com/citation-style-language/schema/raw/master/csl-citation.json" }</w:instrText>
      </w:r>
      <w:r w:rsidR="005A18FE">
        <w:fldChar w:fldCharType="separate"/>
      </w:r>
      <w:r w:rsidR="005A18FE" w:rsidRPr="005A18FE">
        <w:rPr>
          <w:noProof/>
          <w:vertAlign w:val="superscript"/>
        </w:rPr>
        <w:t>34</w:t>
      </w:r>
      <w:r w:rsidR="005A18FE">
        <w:fldChar w:fldCharType="end"/>
      </w:r>
      <w:r>
        <w:t>. From the previously mentioned synthetic polymers, phenol-formaldehyde resins (PF) are of considerable relevance, since they are reported to display fire resistant features and to meet properly the requirements for reaction to fire</w:t>
      </w:r>
      <w:r w:rsidR="005A18FE">
        <w:fldChar w:fldCharType="begin" w:fldLock="1"/>
      </w:r>
      <w:r w:rsidR="005A18FE">
        <w:instrText>ADDIN CSL_CITATION { "citationItems" : [ { "id" : "ITEM-1", "itemData" : { "DOI" : "10.1002/fam.2779", "ISSN" : "0308-0501", "abstract" : "Wood and wood-based products are widely used for structural building elements, but due to their composition, they are susceptible of combusting if exposed to fire. Fire safety is an important issue of building safety, especially when the building's fire load contents enhance the risks of fire spread. Therefore, the involved materials are very important to address the fire safety requirements. When existing timber structures are involved, the most usual way to improve its reaction to fire is to treat wood with fire retardant materials. The idea of this paper is to give an overall overview, on the existing fire-retardant and intumescent coating materials, modification, and treatments that can be applied to wood and wood-based products in order to improve their reaction to fire.", "author" : [ { "dropping-particle" : "", "family" : "Popescu", "given" : "Carmen\u2010Mihaela", "non-dropping-particle" : "", "parse-names" : false, "suffix" : "" }, { "dropping-particle" : "", "family" : "Pfriem", "given" : "Alexander", "non-dropping-particle" : "", "parse-names" : false, "suffix" : "" } ], "container-title" : "Fire and Materials", "id" : "ITEM-1", "issue" : "1", "issued" : { "date-parts" : [ [ "2020", "1", "17" ] ] }, "page" : "100-111", "publisher" : "John Wiley and Sons Ltd", "title" : "Treatments and modification to improve the reaction to fire of wood and wood based products\u2014An overview", "type" : "article-journal", "volume" : "44" }, "uris" : [ "http://www.mendeley.com/documents/?uuid=62ffd3f9-144b-3844-97cb-9480385e9c2f" ] } ], "mendeley" : { "formattedCitation" : "&lt;sup&gt;3&lt;/sup&gt;", "plainTextFormattedCitation" : "3", "previouslyFormattedCitation" : "&lt;sup&gt;3&lt;/sup&gt;" }, "properties" : {  }, "schema" : "https://github.com/citation-style-language/schema/raw/master/csl-citation.json" }</w:instrText>
      </w:r>
      <w:r w:rsidR="005A18FE">
        <w:fldChar w:fldCharType="separate"/>
      </w:r>
      <w:r w:rsidR="005A18FE" w:rsidRPr="005A18FE">
        <w:rPr>
          <w:noProof/>
          <w:vertAlign w:val="superscript"/>
        </w:rPr>
        <w:t>3</w:t>
      </w:r>
      <w:r w:rsidR="005A18FE">
        <w:fldChar w:fldCharType="end"/>
      </w:r>
      <w:r>
        <w:t>. Nevertheless, they present drawbacks related to their dependence on fossil sources and to their toxicity</w:t>
      </w:r>
      <w:r w:rsidR="005A18FE">
        <w:fldChar w:fldCharType="begin" w:fldLock="1"/>
      </w:r>
      <w:r w:rsidR="005A18FE">
        <w:instrText>ADDIN CSL_CITATION { "citationItems" : [ { "id" : "ITEM-1", "itemData" : { "DOI" : "10.1134/S1995421219030183", "ISSN" : "19954220", "abstract" : "This paper considers problems of developing a technology for producing low-toxicity formaldehyde resins used in the woodworking industry. It is shown that application 5% fusel alcohol as a modifier at the stage of SFZh-3014 resin synthesis reduces the content of free phenol, formaldehyde, and alkali in the resin and shortens its curing time, as well as increases the strength and water resistance of adhesive joints in woodworking products.", "author" : [ { "dropping-particle" : "V.", "family" : "Pas\u2019ko", "given" : "Yu", "non-dropping-particle" : "", "parse-names" : false, "suffix" : "" }, { "dropping-particle" : "", "family" : "Machneva", "given" : "O. P.", "non-dropping-particle" : "", "parse-names" : false, "suffix" : "" } ], "container-title" : "Polymer Science - Series D", "id" : "ITEM-1", "issue" : "3", "issued" : { "date-parts" : [ [ "2019", "7", "1" ] ] }, "page" : "283-285", "publisher" : "Pleiades Publishing", "title" : "A Technology for Producing Low-Toxicity Phenol\u2014Formaldehyde Resins", "type" : "article-journal", "volume" : "12" }, "uris" : [ "http://www.mendeley.com/documents/?uuid=09aa2acd-28db-3d01-9fb4-5c80f750f32f" ] } ], "mendeley" : { "formattedCitation" : "&lt;sup&gt;35&lt;/sup&gt;", "plainTextFormattedCitation" : "35", "previouslyFormattedCitation" : "&lt;sup&gt;35&lt;/sup&gt;" }, "properties" : {  }, "schema" : "https://github.com/citation-style-language/schema/raw/master/csl-citation.json" }</w:instrText>
      </w:r>
      <w:r w:rsidR="005A18FE">
        <w:fldChar w:fldCharType="separate"/>
      </w:r>
      <w:r w:rsidR="005A18FE" w:rsidRPr="005A18FE">
        <w:rPr>
          <w:noProof/>
          <w:vertAlign w:val="superscript"/>
        </w:rPr>
        <w:t>35</w:t>
      </w:r>
      <w:r w:rsidR="005A18FE">
        <w:fldChar w:fldCharType="end"/>
      </w:r>
      <w:r>
        <w:t>. Consequently, there is an ongoing tendency towards the substitution of the toxic and non-renewable raw materials e.g. phenol or formaldehyde present in these resins, by others of similar chemical nature, but obtained from natural and renewable sources</w:t>
      </w:r>
      <w:r w:rsidR="005A18FE">
        <w:fldChar w:fldCharType="begin" w:fldLock="1"/>
      </w:r>
      <w:r w:rsidR="005A18FE">
        <w:instrText>ADDIN CSL_CITATION { "citationItems" : [ { "id" : "ITEM-1", "itemData" : { "DOI" : "10.1007/s00107-014-0850-4", "ISSN" : "0018-3768", "author" : [ { "dropping-particle" : "", "family" : "Younesi-Kordkheili", "given" : "Hamed", "non-dropping-particle" : "", "parse-names" : false, "suffix" : "" }, { "dropping-particle" : "", "family" : "Kazemi-Najafi", "given" : "Saeed", "non-dropping-particle" : "", "parse-names" : false, "suffix" : "" }, { "dropping-particle" : "", "family" : "Eshkiki", "given" : "Rabi Behrooz", "non-dropping-particle" : "", "parse-names" : false, "suffix" : "" }, { "dropping-particle" : "", "family" : "Pizzi", "given" : "Antonio", "non-dropping-particle" : "", "parse-names" : false, "suffix" : "" } ], "container-title" : "European Journal of Wood and Wood Products", "id" : "ITEM-1", "issue" : "1", "issued" : { "date-parts" : [ [ "2015", "1", "14" ] ] }, "page" : "77-85", "publisher" : "Springer Berlin Heidelberg", "title" : "Improving urea formaldehyde resin properties by glyoxalated soda bagasse lignin", "type" : "article-journal", "volume" : "73" }, "uris" : [ "http://www.mendeley.com/documents/?uuid=d8edaaad-9ddb-3abe-b240-7deb2adbf9f6" ] }, { "id" : "ITEM-2", "itemData" : { "DOI" : "10.3390/polym9020046", "ISSN" : "2073-4360", "abstract" : "Organosolv lignins obtained from sugar maple bark and wood were studied as adhesives for wood particleboard production. Organosolv pulping of sugar maple wood and bark was carried out in the presence of Lewis acid FeCl3 as a catalyst. The organosolv lignins recovered from this process were investigated by determination of Klason plus acid-soluble lignin content, of sugars by HPLC analysis, and of ash content. Structural characterizations of these lignins were performed by Fourier-transform infrared (FT-IR) and by 31P NMR. The results of the latter studies indicate that the content of free phenolic groups was more important in bark than in wood lignin. The gel permeation chromatography (GPC) analyses results suggested that the weight-average molecular mass of wood lignin was higher than that of bark lignin. The studied organosolv lignins were used for the preparation of particleboards as recovered and in combination with glyoxal or isocyanate. It was found that sugar maple bark lignin, as such or modified with isocyanate, was a more efficient adhesive than its wood counterpart. On the contrary, it was the organosolv wood lignin combined with glyoxal which was a more efficient adhesive than its bark counterpart. In combination with isocyanate, it was the sugar maple bark organosolv lignin which was determined to have the best adhesive performance of all studied lignins.", "author" : [ { "dropping-particle" : "", "family" : "Koumba-Yoya", "given" : "Georges", "non-dropping-particle" : "", "parse-names" : false, "suffix" : "" }, { "dropping-particle" : "", "family" : "Stevanovic", "given" : "Tatjana", "non-dropping-particle" : "", "parse-names" : false, "suffix" : "" } ], "container-title" : "Polymers", "id" : "ITEM-2", "issue" : "12", "issued" : { "date-parts" : [ [ "2017", "1", "29" ] ] }, "page" : "46", "publisher" : "Multidisciplinary Digital Publishing Institute", "title" : "Study of Organosolv Lignins as Adhesives in Wood Panel Production", "type" : "article-journal", "volume" : "9" }, "uris" : [ "http://www.mendeley.com/documents/?uuid=b1cd7efe-6938-3570-918e-ea3a36cc694b" ] } ], "mendeley" : { "formattedCitation" : "&lt;sup&gt;36,37&lt;/sup&gt;", "plainTextFormattedCitation" : "36,37", "previouslyFormattedCitation" : "&lt;sup&gt;36,37&lt;/sup&gt;" }, "properties" : {  }, "schema" : "https://github.com/citation-style-language/schema/raw/master/csl-citation.json" }</w:instrText>
      </w:r>
      <w:r w:rsidR="005A18FE">
        <w:fldChar w:fldCharType="separate"/>
      </w:r>
      <w:r w:rsidR="005A18FE" w:rsidRPr="005A18FE">
        <w:rPr>
          <w:noProof/>
          <w:vertAlign w:val="superscript"/>
        </w:rPr>
        <w:t>36,37</w:t>
      </w:r>
      <w:r w:rsidR="005A18FE">
        <w:fldChar w:fldCharType="end"/>
      </w:r>
      <w:r>
        <w:t>. The phenolic resins in which the components are obtained from renewable, natural or non-oil-derived raw materials are referred to as biobased phenolic resins</w:t>
      </w:r>
      <w:r w:rsidR="005A18FE">
        <w:fldChar w:fldCharType="begin" w:fldLock="1"/>
      </w:r>
      <w:r w:rsidR="005A18FE">
        <w:instrText>ADDIN CSL_CITATION { "citationItems" : [ { "id" : "ITEM-1", "itemData" : { "ISBN" : "9781945291876", "author" : [ { "dropping-particle" : "", "family" : "Pizzi", "given" : "A.", "non-dropping-particle" : "", "parse-names" : false, "suffix" : "" } ], "chapter-number" : "4", "container-title" : "Thermoset Composites", "editor" : [ { "dropping-particle" : "", "family" : "Khan", "given" : "Anish.", "non-dropping-particle" : "", "parse-names" : false, "suffix" : "" }, { "dropping-particle" : "", "family" : "Bhawani", "given" : "Showkat Ahmad.", "non-dropping-particle" : "", "parse-names" : false, "suffix" : "" }, { "dropping-particle" : "", "family" : "Asiri", "given" : "Abdullah M.", "non-dropping-particle" : "", "parse-names" : false, "suffix" : "" }, { "dropping-particle" : "", "family" : "Khan", "given" : "Imran.", "non-dropping-particle" : "", "parse-names" : false, "suffix" : "" } ], "id" : "ITEM-1", "issued" : { "date-parts" : [ [ "2018" ] ] }, "page" : "81-111", "publisher" : "Materials Research Foundation", "title" : "Biosourced Thermosets for Lignocellulosic composites", "type" : "chapter" }, "uris" : [ "http://www.mendeley.com/documents/?uuid=d40935aa-e0dc-39a4-9e72-6be3ce2894a9" ] } ], "mendeley" : { "formattedCitation" : "&lt;sup&gt;38&lt;/sup&gt;", "plainTextFormattedCitation" : "38", "previouslyFormattedCitation" : "&lt;sup&gt;38&lt;/sup&gt;" }, "properties" : {  }, "schema" : "https://github.com/citation-style-language/schema/raw/master/csl-citation.json" }</w:instrText>
      </w:r>
      <w:r w:rsidR="005A18FE">
        <w:fldChar w:fldCharType="separate"/>
      </w:r>
      <w:r w:rsidR="005A18FE" w:rsidRPr="005A18FE">
        <w:rPr>
          <w:noProof/>
          <w:vertAlign w:val="superscript"/>
        </w:rPr>
        <w:t>38</w:t>
      </w:r>
      <w:r w:rsidR="005A18FE">
        <w:fldChar w:fldCharType="end"/>
      </w:r>
      <w:r>
        <w:t>. In this type of resins, phenol is generally substituted by different natural phenolic compounds, among which lignin and tannins are extensively used</w:t>
      </w:r>
      <w:r w:rsidR="005A18FE">
        <w:fldChar w:fldCharType="begin" w:fldLock="1"/>
      </w:r>
      <w:r w:rsidR="005A18FE">
        <w:instrText>ADDIN CSL_CITATION { "citationItems" : [ { "id" : "ITEM-1", "itemData" : { "DOI" : "10.1016/j.ijadhadh.2015.12.004", "ISSN" : "01437496", "abstract" : "The application of phenol-formaldehyde (PF) resin adhesive has been greatly limited due to its toxicity, non-renewability and high-cost. Tannin, which is mostly extracted from renewable bark, could serve as an environmentally friendly bio-based polyphenol material. In this paper, phenol-tannin-urea-formaldehyde (PTUF) resins were prepared by copolymerization of tannin, urea, phenol and formaldehyde. Plywood bonded with those resins was prepared as well. The properties of PTUF resins were characterized by Fourier transform infrared spectroscopy (FTIR) and thermal gravimetric analysis (TGA). The results showed that the bonding strength of plywood bonded with the optimized PTUF resin could meet the Chinese National Standard (GB/T 17657-2013) for type I plywood. The optimized formula of PTUF resin adhesive was as follows: T/(P+T)=20%, U/(P+T)=30%. The bonding strength of plywood bonded with the optimized PTUF resin was 0.86 MPa, and the formaldehyde emission was 0.13 mg/L which would meet the requirement of E0 class plywood in accordance with Chinese National Standard (GB/T9846.1-9846.8-2004). TGA results showed that the thermal stability of the PTUF resin was better than that of PF resin in the initial thermal degradation. Therefore, the optimized PTUF resin is a promising substitution of PF resin in some aspects of the wood industry.", "author" : [ { "dropping-particle" : "", "family" : "Li", "given" : "Cheng", "non-dropping-particle" : "", "parse-names" : false, "suffix" : "" }, { "dropping-particle" : "", "family" : "Zhang", "given" : "Jizhi", "non-dropping-particle" : "", "parse-names" : false, "suffix" : "" }, { "dropping-particle" : "", "family" : "Yi", "given" : "Zhao", "non-dropping-particle" : "", "parse-names" : false, "suffix" : "" }, { "dropping-particle" : "", "family" : "Yang", "given" : "Hua", "non-dropping-particle" : "", "parse-names" : false, "suffix" : "" }, { "dropping-particle" : "", "family" : "Zhao", "given" : "Bin", "non-dropping-particle" : "", "parse-names" : false, "suffix" : "" }, { "dropping-particle" : "", "family" : "Zhang", "given" : "Wei", "non-dropping-particle" : "", "parse-names" : false, "suffix" : "" }, { "dropping-particle" : "", "family" : "Li", "given" : "Jianzhang", "non-dropping-particle" : "", "parse-names" : false, "suffix" : "" } ], "container-title" : "International Journal of Adhesion and Adhesives", "id" : "ITEM-1", "issued" : { "date-parts" : [ [ "2016", "4", "1" ] ] }, "page" : "26-32", "publisher" : "Elsevier Ltd", "title" : "Preparation and characterization of a novel environmentally friendly phenol-formaldehyde adhesive modified with tannin and urea", "type" : "article-journal", "volume" : "66" }, "uris" : [ "http://www.mendeley.com/documents/?uuid=6091209d-f7f6-3dc4-ae6a-50709f3df528" ] } ], "mendeley" : { "formattedCitation" : "&lt;sup&gt;39&lt;/sup&gt;", "plainTextFormattedCitation" : "39", "previouslyFormattedCitation" : "&lt;sup&gt;39&lt;/sup&gt;" }, "properties" : {  }, "schema" : "https://github.com/citation-style-language/schema/raw/master/csl-citation.json" }</w:instrText>
      </w:r>
      <w:r w:rsidR="005A18FE">
        <w:fldChar w:fldCharType="separate"/>
      </w:r>
      <w:r w:rsidR="005A18FE" w:rsidRPr="005A18FE">
        <w:rPr>
          <w:noProof/>
          <w:vertAlign w:val="superscript"/>
        </w:rPr>
        <w:t>39</w:t>
      </w:r>
      <w:r w:rsidR="005A18FE">
        <w:fldChar w:fldCharType="end"/>
      </w:r>
      <w:r>
        <w:t>. On the one hand, lignin is a natural polyphenolic polymer, which is known for being an abundant by-product from the pulp and paper industry. Despite of the mentioned availability, lignin is currently underutilized for higher-value applications</w:t>
      </w:r>
      <w:r w:rsidR="005A18FE">
        <w:fldChar w:fldCharType="begin" w:fldLock="1"/>
      </w:r>
      <w:r w:rsidR="005A18FE">
        <w:instrText>ADDIN CSL_CITATION { "citationItems" : [ { "id" : "ITEM-1", "itemData" : { "DOI" : "10.1016/bs.acat.2017.09.002", "ISSN" : "03600564", "abstract" : "Lignocellulose and chitin are the two most abundant renewable sources of organic carbon available as alternative for chemical and fuel synthesis. Catalytic conversion of these composite polymers to monomers is a multifaceted challenge. Lignocellulose and chitin are inherently unreactive toward chemical attacks as they serve the function of structural materials in plants and animals. A combination of pretreatment and catalytic reaction is necessary to convert these materials into useful small molecules. These upstream reactions involving depolymerization of polymers are the roadblock for realizing future chemicals production based on biomass. In this chapter, we first discuss the pretreatment technologies currently available for lignocellulose and their relevance for catalytic conversion. Catalytic pathways for depolymerization of cellulose, hemicellulose, and lignin are then discussed, highlighting important reactions and mechanism. An analogy is derived between mechanism of cellulose hydrolysis using enzymes and heterogeneous carbon catalysts containing acidic functional groups. Finally, the use of chitin as a renewable carbon source is discussed. The chemical structure of chitin is described along with its origin from crab shells and availability. Recent advances in conversion of chitin to N-acetylglucosamine and its derivatives are described.", "author" : [ { "dropping-particle" : "", "family" : "Shrotri", "given" : "Abhijit", "non-dropping-particle" : "", "parse-names" : false, "suffix" : "" }, { "dropping-particle" : "", "family" : "Kobayashi", "given" : "Hirokazu", "non-dropping-particle" : "", "parse-names" : false, "suffix" : "" }, { "dropping-particle" : "", "family" : "Fukuoka", "given" : "Atsushi", "non-dropping-particle" : "", "parse-names" : false, "suffix" : "" } ], "container-title" : "Advances in Catalysis", "id" : "ITEM-1", "issued" : { "date-parts" : [ [ "2017", "1", "1" ] ] }, "page" : "59-123", "publisher" : "Academic Press Inc.", "title" : "Catalytic Conversion of Structural Carbohydrates and Lignin to Chemicals", "type" : "chapter", "volume" : "60" }, "uris" : [ "http://www.mendeley.com/documents/?uuid=fca44edd-b040-3161-9ca6-e4b18f836608" ] } ], "mendeley" : { "formattedCitation" : "&lt;sup&gt;40&lt;/sup&gt;", "plainTextFormattedCitation" : "40", "previouslyFormattedCitation" : "&lt;sup&gt;40&lt;/sup&gt;" }, "properties" : {  }, "schema" : "https://github.com/citation-style-language/schema/raw/master/csl-citation.json" }</w:instrText>
      </w:r>
      <w:r w:rsidR="005A18FE">
        <w:fldChar w:fldCharType="separate"/>
      </w:r>
      <w:r w:rsidR="005A18FE" w:rsidRPr="005A18FE">
        <w:rPr>
          <w:noProof/>
          <w:vertAlign w:val="superscript"/>
        </w:rPr>
        <w:t>40</w:t>
      </w:r>
      <w:r w:rsidR="005A18FE">
        <w:fldChar w:fldCharType="end"/>
      </w:r>
      <w:r>
        <w:t>. For this reason, its use in the synthesis of lignin-derived polymers constitutes an appropriate option to switch this situation. On the other hand, tannins are the second most abundant natural source of polyphenolic compound after lignin</w:t>
      </w:r>
      <w:r w:rsidR="005A18FE">
        <w:fldChar w:fldCharType="begin" w:fldLock="1"/>
      </w:r>
      <w:r w:rsidR="005A18FE">
        <w:instrText>ADDIN CSL_CITATION { "citationItems" : [ { "id" : "ITEM-1", "itemData" : { "DOI" : "10.1016/J.PROGPOLYMSCI.2013.11.004", "ISSN" : "0079-6700", "abstract" : "Lignins are now considered as the main aromatic renewable resource. They represent an excellent alternative feedstock for the elaboration of chemicals and polymers. Lignin is a highly abundant biopolymeric material that constitutes with cellulose one of the major components in structural cell walls of higher vascular plants. Large quantities of lignin are yearly available from numerous pulping processes such as paper and biorefinery industries. Lignin extraction from lignocellulosic biomass (wood, annual plant) represents the key point to its large use for industrial applications. One of the major problems still remains is its unclearly defined structure and its versatility according to the origin, separation and fragmentation processes, which mainly limits its utilization. While currently often used as a filler or additive, lignin is rarely exploited as a raw material for chemical production. However, it may be an excellent candidate for chemical modifications and reactions due to its highly functional character (i.e., rich in phenolic and aliphatic hydroxyl groups) for the development of new biobased materials. Chemical modification of lignin has driven numerous efforts and researches with significant studies during the last decades. After an overview with some generalities concerning the main extraction techniques along with the structure and the properties of lignins, this review describes in details the different chemical modifications of lignins. They are classified into three groups: (1) lignin fragmentation into phenolic or other aromatic compounds for fine chemistry, (2) synthesis of new chemical active sites to impart new reactivity to lignin, and (3) functionalization of hydroxyl groups to enhance their reactivity. In that frame, the potential applications of lignin as precursor for the elaboration of original macromolecular architecture and the development of new building blocks are discussed. Finally, the major achievements and remaining challenges for lignin modifications and its uses as a macromer for polymer synthesis are also mentioned with emphasis on the most promising and relevant applications.", "author" : [ { "dropping-particle" : "", "family" : "Laurichesse", "given" : "St\u00e9phanie", "non-dropping-particle" : "", "parse-names" : false, "suffix" : "" }, { "dropping-particle" : "", "family" : "Av\u00e9rous", "given" : "Luc", "non-dropping-particle" : "", "parse-names" : false, "suffix" : "" } ], "container-title" : "Progress in Polymer Science", "id" : "ITEM-1", "issue" : "7", "issued" : { "date-parts" : [ [ "2014", "7", "1" ] ] }, "page" : "1266-1290", "publisher" : "Pergamon", "title" : "Chemical modification of lignins: Towards biobased polymers", "type" : "article-journal", "volume" : "39" }, "uris" : [ "http://www.mendeley.com/documents/?uuid=18e40dc5-eca4-3a33-8b7e-ca19a639fd47" ] } ], "mendeley" : { "formattedCitation" : "&lt;sup&gt;41&lt;/sup&gt;", "plainTextFormattedCitation" : "41", "previouslyFormattedCitation" : "&lt;sup&gt;41&lt;/sup&gt;" }, "properties" : {  }, "schema" : "https://github.com/citation-style-language/schema/raw/master/csl-citation.json" }</w:instrText>
      </w:r>
      <w:r w:rsidR="005A18FE">
        <w:fldChar w:fldCharType="separate"/>
      </w:r>
      <w:r w:rsidR="005A18FE" w:rsidRPr="005A18FE">
        <w:rPr>
          <w:noProof/>
          <w:vertAlign w:val="superscript"/>
        </w:rPr>
        <w:t>41</w:t>
      </w:r>
      <w:r w:rsidR="005A18FE">
        <w:fldChar w:fldCharType="end"/>
      </w:r>
      <w:r>
        <w:t>. They are widely abundant in nature, especially in some parts of the plants such as bark, leaves, seeds, roots and rhizomes</w:t>
      </w:r>
      <w:r w:rsidR="005A18FE">
        <w:fldChar w:fldCharType="begin" w:fldLock="1"/>
      </w:r>
      <w:r w:rsidR="005A18FE">
        <w:instrText>ADDIN CSL_CITATION { "citationItems" : [ { "id" : "ITEM-1", "itemData" : { "DOI" : "10.3923/ajps.2010.209.214", "author" : [ { "dropping-particle" : "", "family" : "Bele", "given" : "Archana A.", "non-dropping-particle" : "", "parse-names" : false, "suffix" : "" }, { "dropping-particle" : "", "family" : "Jadhav", "given" : "Varsha M.", "non-dropping-particle" : "", "parse-names" : false, "suffix" : "" }, { "dropping-particle" : "", "family" : "Kadam", "given" : "V.J.", "non-dropping-particle" : "", "parse-names" : false, "suffix" : "" } ], "container-title" : "Asian Journal of Plant Sciences", "id" : "ITEM-1", "issue" : "4", "issued" : { "date-parts" : [ [ "2010", "4", "1" ] ] }, "page" : "209-214", "title" : "Potential of Tannnins: A Review", "type" : "article-journal", "volume" : "9" }, "uris" : [ "http://www.mendeley.com/documents/?uuid=fa2a204d-a47f-3c42-8179-12d0f1eac1a6" ] } ], "mendeley" : { "formattedCitation" : "&lt;sup&gt;42&lt;/sup&gt;", "plainTextFormattedCitation" : "42", "previouslyFormattedCitation" : "&lt;sup&gt;42&lt;/sup&gt;" }, "properties" : {  }, "schema" : "https://github.com/citation-style-language/schema/raw/master/csl-citation.json" }</w:instrText>
      </w:r>
      <w:r w:rsidR="005A18FE">
        <w:fldChar w:fldCharType="separate"/>
      </w:r>
      <w:r w:rsidR="005A18FE" w:rsidRPr="005A18FE">
        <w:rPr>
          <w:noProof/>
          <w:vertAlign w:val="superscript"/>
        </w:rPr>
        <w:t>42</w:t>
      </w:r>
      <w:r w:rsidR="005A18FE">
        <w:fldChar w:fldCharType="end"/>
      </w:r>
      <w:r>
        <w:t>. Their utilization in phenolic resins is well set in the market e.g. adhesives applications</w:t>
      </w:r>
      <w:r w:rsidR="005A18FE">
        <w:fldChar w:fldCharType="begin" w:fldLock="1"/>
      </w:r>
      <w:r w:rsidR="005A18FE">
        <w:instrText>ADDIN CSL_CITATION { "citationItems" : [ { "id" : "ITEM-1", "itemData" : { "DOI" : "10.1201/9780203912225-27", "author" : [ { "dropping-particle" : "", "family" : "Pizzi", "given" : "Antonio", "non-dropping-particle" : "", "parse-names" : false, "suffix" : "" } ], "container-title" : "Handbook of Adhesive Technology, Revised and Expanded", "editor" : [ { "dropping-particle" : "", "family" : "Pizzi", "given" : "Antonio", "non-dropping-particle" : "", "parse-names" : false, "suffix" : "" }, { "dropping-particle" : "", "family" : "Mittal", "given" : "Kashmiri L.", "non-dropping-particle" : "", "parse-names" : false, "suffix" : "" } ], "id" : "ITEM-1", "issued" : { "date-parts" : [ [ "2003", "8", "6" ] ] }, "page" : "567-581", "publisher" : "CRC Press", "title" : "Natural Phenolic Adhesives I: Tannin", "type" : "chapter" }, "uris" : [ "http://www.mendeley.com/documents/?uuid=7ca12cf6-6e3c-391a-a574-5835c801b2ab" ] } ], "mendeley" : { "formattedCitation" : "&lt;sup&gt;43&lt;/sup&gt;", "plainTextFormattedCitation" : "43", "previouslyFormattedCitation" : "&lt;sup&gt;43&lt;/sup&gt;" }, "properties" : {  }, "schema" : "https://github.com/citation-style-language/schema/raw/master/csl-citation.json" }</w:instrText>
      </w:r>
      <w:r w:rsidR="005A18FE">
        <w:fldChar w:fldCharType="separate"/>
      </w:r>
      <w:r w:rsidR="005A18FE" w:rsidRPr="005A18FE">
        <w:rPr>
          <w:noProof/>
          <w:vertAlign w:val="superscript"/>
        </w:rPr>
        <w:t>43</w:t>
      </w:r>
      <w:r w:rsidR="005A18FE">
        <w:fldChar w:fldCharType="end"/>
      </w:r>
      <w:r>
        <w:t>, since they can provide similar reactivity and interactions to aldehydes, thanks to their structure</w:t>
      </w:r>
      <w:r w:rsidR="005A18FE">
        <w:fldChar w:fldCharType="begin" w:fldLock="1"/>
      </w:r>
      <w:r w:rsidR="005A18FE">
        <w:instrText>ADDIN CSL_CITATION { "citationItems" : [ { "id" : "ITEM-1", "itemData" : { "DOI" : "10.1002/app.43437", "author" : [ { "dropping-particle" : "", "family" : "Faris", "given" : "Abbas Hasan", "non-dropping-particle" : "", "parse-names" : false, "suffix" : "" }, { "dropping-particle" : "", "family" : "Rahim", "given" : "Afidah Abdul", "non-dropping-particle" : "", "parse-names" : false, "suffix" : "" }, { "dropping-particle" : "", "family" : "Ibrahim", "given" : "Mohamad Nasir Mohamad", "non-dropping-particle" : "", "parse-names" : false, "suffix" : "" }, { "dropping-particle" : "", "family" : "Alkurdi", "given" : "Adel Mustafa", "non-dropping-particle" : "", "parse-names" : false, "suffix" : "" }, { "dropping-particle" : "", "family" : "Shah", "given" : "Irfan", "non-dropping-particle" : "", "parse-names" : false, "suffix" : "" } ], "container-title" : "Journal of Applied Polymer Science", "id" : "ITEM-1", "issue" : "43437", "issued" : { "date-parts" : [ [ "2016", "5", "20" ] ] }, "page" : "1-6", "publisher" : "John Wiley &amp; Sons, Ltd", "title" : "Combination of lignin polyol-tannin adhesives and polyethylenimine for the preparation of green water-resistant adhesives", "type" : "article-journal", "volume" : "133" }, "uris" : [ "http://www.mendeley.com/documents/?uuid=e1977498-5ae7-30b3-8ff7-861b048821ff" ] } ], "mendeley" : { "formattedCitation" : "&lt;sup&gt;44&lt;/sup&gt;", "plainTextFormattedCitation" : "44", "previouslyFormattedCitation" : "&lt;sup&gt;44&lt;/sup&gt;" }, "properties" : {  }, "schema" : "https://github.com/citation-style-language/schema/raw/master/csl-citation.json" }</w:instrText>
      </w:r>
      <w:r w:rsidR="005A18FE">
        <w:fldChar w:fldCharType="separate"/>
      </w:r>
      <w:r w:rsidR="005A18FE" w:rsidRPr="005A18FE">
        <w:rPr>
          <w:noProof/>
          <w:vertAlign w:val="superscript"/>
        </w:rPr>
        <w:t>44</w:t>
      </w:r>
      <w:r w:rsidR="005A18FE">
        <w:fldChar w:fldCharType="end"/>
      </w:r>
      <w:r>
        <w:t xml:space="preserve">. Nevertheless, the main disadvantage of the tannin utilization for the synthesis of phenolic resins is their direct competition with other higher-value applications in areas such as </w:t>
      </w:r>
      <w:r>
        <w:lastRenderedPageBreak/>
        <w:t>medicine and pharmacology. Accordingly, in the recent years, the combination of tannins and lignin as a substitute for phenol in biobased phenolic resins has been reported</w:t>
      </w:r>
      <w:r w:rsidR="005A18FE">
        <w:fldChar w:fldCharType="begin" w:fldLock="1"/>
      </w:r>
      <w:r w:rsidR="005A18FE">
        <w:instrText>ADDIN CSL_CITATION { "citationItems" : [ { "id" : "ITEM-1", "itemData" : { "DOI" : "10.1002/app.27011", "ISSN" : "00218995", "author" : [ { "dropping-particle" : "", "family" : "Lei", "given" : "Hong", "non-dropping-particle" : "", "parse-names" : false, "suffix" : "" }, { "dropping-particle" : "", "family" : "Pizzi", "given" : "A.", "non-dropping-particle" : "", "parse-names" : false, "suffix" : "" }, { "dropping-particle" : "", "family" : "Du", "given" : "Guanben", "non-dropping-particle" : "", "parse-names" : false, "suffix" : "" } ], "container-title" : "Journal of Applied Polymer Science", "id" : "ITEM-1", "issue" : "1", "issued" : { "date-parts" : [ [ "2008", "1", "5" ] ] }, "page" : "203-209", "publisher" : "John Wiley &amp; Sons, Ltd", "title" : "Environmentally friendly mixed tannin/lignin wood resins", "type" : "article-journal", "volume" : "107" }, "uris" : [ "http://www.mendeley.com/documents/?uuid=393f29af-580b-38db-bf7a-8abff7ceef2b" ] }, { "id" : "ITEM-2", "itemData" : { "DOI" : "10.1007/s00107-010-0423-0", "ISSN" : "0018-3768", "author" : [ { "dropping-particle" : "", "family" : "Mansouri", "given" : "H. R.", "non-dropping-particle" : "", "parse-names" : false, "suffix" : "" }, { "dropping-particle" : "", "family" : "Navarrete", "given" : "P.", "non-dropping-particle" : "", "parse-names" : false, "suffix" : "" }, { "dropping-particle" : "", "family" : "Pizzi", "given" : "A.", "non-dropping-particle" : "", "parse-names" : false, "suffix" : "" }, { "dropping-particle" : "", "family" : "Tapin-Lingua", "given" : "S.", "non-dropping-particle" : "", "parse-names" : false, "suffix" : "" }, { "dropping-particle" : "", "family" : "Benjelloun-Mlayah", "given" : "B.", "non-dropping-particle" : "", "parse-names" : false, "suffix" : "" }, { "dropping-particle" : "", "family" : "Pasch", "given" : "H.", "non-dropping-particle" : "", "parse-names" : false, "suffix" : "" }, { "dropping-particle" : "", "family" : "Rigolet", "given" : "S.", "non-dropping-particle" : "", "parse-names" : false, "suffix" : "" } ], "container-title" : "European Journal of Wood and Wood Products", "id" : "ITEM-2", "issue" : "2", "issued" : { "date-parts" : [ [ "2011", "5", "26" ] ] }, "page" : "221-229", "publisher" : "Springer-Verlag", "title" : "Synthetic-resin-free wood panel adhesives from mixed low molecular mass lignin and tannin", "type" : "article-journal", "volume" : "69" }, "uris" : [ "http://www.mendeley.com/documents/?uuid=1d1b6f3d-a2fd-3c52-8f3a-5d2f5a8ea820" ] }, { "id" : "ITEM-3", "itemData" : { "DOI" : "10.1007/s10973-014-4331-0", "ISSN" : "1388-6150", "author" : [ { "dropping-particle" : "", "family" : "Chupin", "given" : "Lucie", "non-dropping-particle" : "", "parse-names" : false, "suffix" : "" }, { "dropping-particle" : "", "family" : "Charrier", "given" : "Bertrand", "non-dropping-particle" : "", "parse-names" : false, "suffix" : "" }, { "dropping-particle" : "", "family" : "Pizzi", "given" : "Antonio", "non-dropping-particle" : "", "parse-names" : false, "suffix" : "" }, { "dropping-particle" : "", "family" : "Perdomo", "given" : "Arturo", "non-dropping-particle" : "", "parse-names" : false, "suffix" : "" }, { "dropping-particle" : "", "family" : "Charrier-El Bouhtoury", "given" : "Fatima", "non-dropping-particle" : "", "parse-names" : false, "suffix" : "" } ], "container-title" : "Journal of Thermal Analysis and Calorimetry", "id" : "ITEM-3", "issue" : "3", "issued" : { "date-parts" : [ [ "2015", "3", "24" ] ] }, "page" : "1577-1585", "publisher" : "Springer Netherlands", "title" : "Study of thermal durability properties of tannin\u2013lignosulfonate adhesives", "type" : "article-journal", "volume" : "119" }, "uris" : [ "http://www.mendeley.com/documents/?uuid=d38f96f3-d0e6-3bd4-beea-842108b27fbc" ] } ], "mendeley" : { "formattedCitation" : "&lt;sup&gt;45\u201347&lt;/sup&gt;", "plainTextFormattedCitation" : "45\u201347", "previouslyFormattedCitation" : "&lt;sup&gt;45\u201347&lt;/sup&gt;" }, "properties" : {  }, "schema" : "https://github.com/citation-style-language/schema/raw/master/csl-citation.json" }</w:instrText>
      </w:r>
      <w:r w:rsidR="005A18FE">
        <w:fldChar w:fldCharType="separate"/>
      </w:r>
      <w:r w:rsidR="005A18FE" w:rsidRPr="005A18FE">
        <w:rPr>
          <w:noProof/>
          <w:vertAlign w:val="superscript"/>
        </w:rPr>
        <w:t>45–47</w:t>
      </w:r>
      <w:r w:rsidR="005A18FE">
        <w:fldChar w:fldCharType="end"/>
      </w:r>
      <w:r>
        <w:t>.</w:t>
      </w:r>
    </w:p>
    <w:p w14:paraId="75193E5E" w14:textId="0DA280ED" w:rsidR="005A18FE" w:rsidRDefault="003951A8" w:rsidP="00CB30D7">
      <w:pPr>
        <w:pStyle w:val="TAMainText"/>
      </w:pPr>
      <w:r>
        <w:t>T</w:t>
      </w:r>
      <w:r w:rsidR="00CB30D7">
        <w:t>he interest of this work relies on the employment of fireproofing coatings for wood</w:t>
      </w:r>
      <w:r>
        <w:t xml:space="preserve"> based on biobased phenolic resins. Thereby it was possible to replace the toxic and non-renewable compounds</w:t>
      </w:r>
      <w:r w:rsidR="00CB30D7">
        <w:t xml:space="preserve"> </w:t>
      </w:r>
      <w:r>
        <w:t>typical from the</w:t>
      </w:r>
      <w:r w:rsidR="00CB30D7">
        <w:t xml:space="preserve"> phenol formaldehyde </w:t>
      </w:r>
      <w:r>
        <w:t xml:space="preserve">resins </w:t>
      </w:r>
      <w:r w:rsidR="00CB30D7">
        <w:t xml:space="preserve">(PF), </w:t>
      </w:r>
      <w:r>
        <w:t>by other</w:t>
      </w:r>
      <w:r w:rsidR="00CB30D7">
        <w:t xml:space="preserve"> natural and renewable compounds (≈90%</w:t>
      </w:r>
      <w:r>
        <w:t xml:space="preserve"> content</w:t>
      </w:r>
      <w:r w:rsidR="00CB30D7">
        <w:t>)</w:t>
      </w:r>
      <w:r>
        <w:t xml:space="preserve"> and still maintain </w:t>
      </w:r>
      <w:r w:rsidR="007F16C3">
        <w:t>the protective effect of the coatings</w:t>
      </w:r>
      <w:r w:rsidR="00CB30D7">
        <w:t>. In this case, phenol was substituted by lignin and tannins (natural polyphenolic compounds) and glyoxal was employed as an alternative to formaldehyde (lower toxicity and volatility). These coatings were applied onto two wood species namely maritime pine (Pinus pinaster) and beech (Fagus sylvatica). Following to this, their protective effect against fire was assessed by means of several analyses. Furthermore, the other important point of this work was the comparison of the protective effect achieved by the biobased coatings with that accomplished by two commercial products available in the market. Thus, it was possible to assess properly the performance of the fireproofing coatings based on the biobased ph</w:t>
      </w:r>
      <w:r w:rsidR="005A18FE">
        <w:t>enolic resins.</w:t>
      </w:r>
    </w:p>
    <w:p w14:paraId="51275AF2" w14:textId="16BCCFBA" w:rsidR="000F758A" w:rsidRDefault="000F758A" w:rsidP="00112E14">
      <w:pPr>
        <w:rPr>
          <w:rFonts w:ascii="Arial" w:hAnsi="Arial" w:cs="Arial"/>
        </w:rPr>
      </w:pPr>
    </w:p>
    <w:p w14:paraId="6479DA5A" w14:textId="77777777" w:rsidR="00CB30D7" w:rsidRPr="00AC1A16" w:rsidRDefault="00CB30D7" w:rsidP="00112E14">
      <w:pPr>
        <w:rPr>
          <w:rFonts w:ascii="Arial" w:hAnsi="Arial" w:cs="Arial"/>
        </w:rPr>
      </w:pPr>
    </w:p>
    <w:p w14:paraId="6DD8D67F" w14:textId="77777777" w:rsidR="000F758A" w:rsidRPr="00AC1A16" w:rsidRDefault="000F758A" w:rsidP="00112E14">
      <w:pPr>
        <w:rPr>
          <w:rFonts w:ascii="Arial" w:hAnsi="Arial" w:cs="Arial"/>
        </w:rPr>
        <w:sectPr w:rsidR="000F758A" w:rsidRPr="00AC1A16" w:rsidSect="00603A01">
          <w:pgSz w:w="11906" w:h="16838"/>
          <w:pgMar w:top="1417" w:right="1701" w:bottom="1417" w:left="1701" w:header="708" w:footer="708" w:gutter="0"/>
          <w:lnNumType w:countBy="1" w:restart="continuous"/>
          <w:cols w:space="708"/>
          <w:docGrid w:linePitch="360"/>
        </w:sectPr>
      </w:pPr>
    </w:p>
    <w:p w14:paraId="32A9A526" w14:textId="43C6872A" w:rsidR="000F758A" w:rsidRPr="00AC1A16" w:rsidRDefault="000F758A" w:rsidP="00FB7CC5">
      <w:pPr>
        <w:pStyle w:val="TAMainText"/>
      </w:pPr>
      <w:r w:rsidRPr="00AC1A16">
        <w:lastRenderedPageBreak/>
        <w:t xml:space="preserve"> MATERIALS AND METHODS</w:t>
      </w:r>
    </w:p>
    <w:p w14:paraId="31316292" w14:textId="323C289B" w:rsidR="001E6400" w:rsidRPr="00AC1A16" w:rsidRDefault="001E6400" w:rsidP="00FB7CC5">
      <w:pPr>
        <w:pStyle w:val="TAMainText"/>
      </w:pPr>
      <w:r w:rsidRPr="00AC1A16">
        <w:t xml:space="preserve"> Materials</w:t>
      </w:r>
    </w:p>
    <w:p w14:paraId="4F184979" w14:textId="0088EED3" w:rsidR="00ED2AB0" w:rsidRDefault="001E6400" w:rsidP="00FB7CC5">
      <w:pPr>
        <w:pStyle w:val="TAMainText"/>
      </w:pPr>
      <w:r w:rsidRPr="00AC1A16">
        <w:t>The lignin employed</w:t>
      </w:r>
      <w:r w:rsidR="00FC4FB3" w:rsidRPr="00AC1A16">
        <w:t xml:space="preserve"> within this work was</w:t>
      </w:r>
      <w:r w:rsidRPr="00AC1A16">
        <w:t xml:space="preserve"> extracted by means of an organosolv process from</w:t>
      </w:r>
      <w:r w:rsidR="00FC4FB3" w:rsidRPr="00AC1A16">
        <w:t xml:space="preserve"> wood</w:t>
      </w:r>
      <w:r w:rsidRPr="00AC1A16">
        <w:t xml:space="preserve"> residues of maritime pine</w:t>
      </w:r>
      <w:r w:rsidR="00FC4FB3" w:rsidRPr="00AC1A16">
        <w:t xml:space="preserve"> (</w:t>
      </w:r>
      <w:r w:rsidR="00FC4FB3" w:rsidRPr="00AC1A16">
        <w:rPr>
          <w:i/>
        </w:rPr>
        <w:t>Pinus pinaster</w:t>
      </w:r>
      <w:r w:rsidR="00FC4FB3" w:rsidRPr="00AC1A16">
        <w:t>)</w:t>
      </w:r>
      <w:r w:rsidRPr="00AC1A16">
        <w:t xml:space="preserve">. </w:t>
      </w:r>
      <w:r w:rsidR="00FC4FB3" w:rsidRPr="00AC1A16">
        <w:t>The mentioned residues were based on the remaining parts coming from wood industry activities e.g. small pieces of panels, wood chips, etc.</w:t>
      </w:r>
      <w:r w:rsidR="00B96EA6" w:rsidRPr="00AC1A16">
        <w:t xml:space="preserve"> The organosolv process was implemented by using an ethanol solution (70%) and a rate liquid to solid 6:1. The extraction was performed during 90 minutes at 200ºC in a 1.5 L stainless steel Parr reactor. After this reaction, the liquor was filtered to separate it from the solid residue. Then lignin contained was precipitated by adding acidified water (pH 2) to the liquor with a ratio 2:1 v/v. This mixture was left overnight to promote the lignin precipitation. Finally, the lignin was filtered from the suspension and it was dried at 50ºC during 2-3 days</w:t>
      </w:r>
      <w:r w:rsidR="00410F6B" w:rsidRPr="00AC1A16">
        <w:t>.</w:t>
      </w:r>
      <w:r w:rsidR="00A4594F" w:rsidRPr="00AC1A16">
        <w:t xml:space="preserve"> The tannins used consisted in a commercial extract from mimosa (</w:t>
      </w:r>
      <w:r w:rsidR="00A4594F" w:rsidRPr="00AC1A16">
        <w:rPr>
          <w:i/>
        </w:rPr>
        <w:t>Acacia meransii</w:t>
      </w:r>
      <w:r w:rsidR="00A4594F" w:rsidRPr="00AC1A16">
        <w:t>), which was commercialized under the na</w:t>
      </w:r>
      <w:r w:rsidR="00F80474" w:rsidRPr="00AC1A16">
        <w:t>me Tanfood and supplied by TANAC S.A</w:t>
      </w:r>
      <w:r w:rsidR="00A4594F" w:rsidRPr="00AC1A16">
        <w:t xml:space="preserve"> (Brazil). Two different types of inorganic nanoparticles were utilized namely Delite 43B (nanoclay) and SO1458-Trisilanol Phenyl POSS (nanosilicate). The nanoclay was kindly provided by Laviosa Advance Mineral Solutions (Italy) and the nanosilicate by Hybrid Plastics Inc. (USA). Hexamethylenetetramine</w:t>
      </w:r>
      <w:r w:rsidR="00A55AE5" w:rsidRPr="00AC1A16">
        <w:t xml:space="preserve"> (99%) and</w:t>
      </w:r>
      <w:r w:rsidR="00A4594F" w:rsidRPr="00AC1A16">
        <w:t xml:space="preserve"> sodium hydroxide pellets were purchased from </w:t>
      </w:r>
      <w:r w:rsidR="00A55AE5" w:rsidRPr="00AC1A16">
        <w:t>Fisher Scientific.</w:t>
      </w:r>
    </w:p>
    <w:p w14:paraId="203EB519" w14:textId="4C0C8373" w:rsidR="00BA2175" w:rsidRPr="00AC1A16" w:rsidRDefault="00BA2175" w:rsidP="00FB7CC5">
      <w:pPr>
        <w:pStyle w:val="TAMainText"/>
      </w:pPr>
      <w:r>
        <w:t>Two different commercial fireproofing coatings were selected to assess the efficiency of the coatings based on the biobased phenolic resins. Both commercial formulations were ranked with the highest possible classification for wood protection against fire, according to standard UNE EN 13501-1:2007+A1:2009 (Bs2d0)</w:t>
      </w:r>
      <w:r w:rsidR="00505933">
        <w:t xml:space="preserve">. On the one hand, a water-borne fireproofing coating </w:t>
      </w:r>
      <w:r w:rsidR="00B71202">
        <w:t>(</w:t>
      </w:r>
      <w:r w:rsidR="00505933">
        <w:t>CEDRIA B-77</w:t>
      </w:r>
      <w:r w:rsidR="00B71202">
        <w:t>)</w:t>
      </w:r>
      <w:r w:rsidR="00505933">
        <w:t xml:space="preserve"> was purchased from BASMODEC </w:t>
      </w:r>
      <w:r w:rsidR="00505933">
        <w:lastRenderedPageBreak/>
        <w:t>(Gipuzkoa). On the other hand, a two-phase formulation polyurethane based (Quidedur AIG-7110) was kindly provided by NAILAN Parquets-Barnices (Bizkaia)</w:t>
      </w:r>
    </w:p>
    <w:p w14:paraId="71C78C42" w14:textId="5DB95FCF" w:rsidR="000F758A" w:rsidRPr="00AC1A16" w:rsidRDefault="006B34DB" w:rsidP="00FB7CC5">
      <w:pPr>
        <w:pStyle w:val="TAMainText"/>
      </w:pPr>
      <w:r w:rsidRPr="00AC1A16">
        <w:t>Synthesis</w:t>
      </w:r>
      <w:r w:rsidR="000F758A" w:rsidRPr="00AC1A16">
        <w:t xml:space="preserve"> of the resins</w:t>
      </w:r>
    </w:p>
    <w:p w14:paraId="0F5CAFFF" w14:textId="4D6B4956" w:rsidR="00A55AE5" w:rsidRPr="00AC1A16" w:rsidRDefault="00516349" w:rsidP="00FB7CC5">
      <w:pPr>
        <w:pStyle w:val="TAMainText"/>
      </w:pPr>
      <w:r w:rsidRPr="00AC1A16">
        <w:t>The process</w:t>
      </w:r>
      <w:r w:rsidR="009F5D1C" w:rsidRPr="00AC1A16">
        <w:t xml:space="preserve"> employed</w:t>
      </w:r>
      <w:r w:rsidRPr="00AC1A16">
        <w:t xml:space="preserve"> for the</w:t>
      </w:r>
      <w:r w:rsidR="00E87362" w:rsidRPr="00AC1A16">
        <w:t xml:space="preserve"> synthesis of the resins was based on the previous preparation of the phenolic raw materials i.e. lignin and tannins. Thereby, the lignin was first subjected to a process of functionalization</w:t>
      </w:r>
      <w:r w:rsidR="00A55AE5" w:rsidRPr="00AC1A16">
        <w:t xml:space="preserve"> in two stages namely glyoxalation and modification with inorganic nanoparticles (hybridization)</w:t>
      </w:r>
      <w:r w:rsidR="00E87362" w:rsidRPr="00AC1A16">
        <w:t>.</w:t>
      </w:r>
      <w:r w:rsidR="00B304BB" w:rsidRPr="00AC1A16">
        <w:t xml:space="preserve"> Shortly, an aqueous suspension of lignin was prepared with a concentration 27.86±1.04% (w/w). Then a solution sodium hydroxide solution (30%) was added to set the pH at 12-12.5 and to achieve the complete dissolution of lignin. When the desired pH was reached and the lignin was totally dissolved, glyoxal</w:t>
      </w:r>
      <w:r w:rsidR="00FB028E" w:rsidRPr="00AC1A16">
        <w:t xml:space="preserve"> solution</w:t>
      </w:r>
      <w:r w:rsidR="00B304BB" w:rsidRPr="00AC1A16">
        <w:t xml:space="preserve"> was added (40% in water) with mola</w:t>
      </w:r>
      <w:r w:rsidR="00FB028E" w:rsidRPr="00AC1A16">
        <w:t>r ratio lignin to glyoxal solution 1:1.44</w:t>
      </w:r>
      <w:r w:rsidR="00B304BB" w:rsidRPr="00AC1A16">
        <w:t>. Following to that the glyoxalation reaction was performed at 58ºC, during 8h and by using mechanical agitation (450 rpm). To the glyoxalated lignins, the inorganic nanoparticles were added (5% w/w with respect to the solid lignin in solution) at 40ºC with magnetic agitation (550 rpm). The reaction was left overnight until the complete dissolution of the nanoparticles.</w:t>
      </w:r>
      <w:r w:rsidR="00E87362" w:rsidRPr="00AC1A16">
        <w:t xml:space="preserve"> The mentioned </w:t>
      </w:r>
      <w:r w:rsidR="00ED2AB0" w:rsidRPr="00AC1A16">
        <w:t>process of functionalization has</w:t>
      </w:r>
      <w:r w:rsidR="00F80474" w:rsidRPr="00AC1A16">
        <w:t xml:space="preserve"> been</w:t>
      </w:r>
      <w:r w:rsidR="00E87362" w:rsidRPr="00AC1A16">
        <w:t xml:space="preserve"> alrea</w:t>
      </w:r>
      <w:r w:rsidR="00FA7B9E" w:rsidRPr="00AC1A16">
        <w:t xml:space="preserve">dy </w:t>
      </w:r>
      <w:r w:rsidR="00B304BB" w:rsidRPr="00AC1A16">
        <w:t xml:space="preserve">comprehensively </w:t>
      </w:r>
      <w:r w:rsidR="00FA7B9E" w:rsidRPr="00AC1A16">
        <w:t>described in a previous work</w:t>
      </w:r>
      <w:r w:rsidR="00D90B26" w:rsidRPr="00AC1A16">
        <w:fldChar w:fldCharType="begin" w:fldLock="1"/>
      </w:r>
      <w:r w:rsidR="005A18FE">
        <w:instrText>ADDIN CSL_CITATION { "citationItems" : [ { "id" : "ITEM-1", "itemData" : { "DOI" : "10.1021/acs.biomac.9b00799", "ISSN" : "1525-7797", "author" : [ { "dropping-particle" : "", "family" : "Hoyos-Mart\u00ednez", "given" : "Pedro L.", "non-dropping-particle" : "de", "parse-names" : false, "suffix" : "" }, { "dropping-particle" : "", "family" : "Robles", "given" : "Eduardo", "non-dropping-particle" : "", "parse-names" : false, "suffix" : "" }, { "dropping-particle" : "", "family" : "Khoukh", "given" : "Abdel", "non-dropping-particle" : "", "parse-names" : false, "suffix" : "" }, { "dropping-particle" : "", "family" : "Charrier-El Bouhtoury", "given" : "Fatima", "non-dropping-particle" : "", "parse-names" : false, "suffix" : "" }, { "dropping-particle" : "", "family" : "Labidi", "given" : "Jalel", "non-dropping-particle" : "", "parse-names" : false, "suffix" : "" } ], "container-title" : "Biomacromolecules", "id" : "ITEM-1", "issue" : "9", "issued" : { "date-parts" : [ [ "2019", "9", "9" ] ] }, "page" : "3535-3546", "title" : "Formulation of Multifunctional Materials Based on the Reaction of Glyoxalated Lignins and a Nanoclay/Nanosilicate", "type" : "article-journal", "volume" : "20" }, "uris" : [ "http://www.mendeley.com/documents/?uuid=1dffa542-6514-3de7-9a2f-862158251c7e" ] } ], "mendeley" : { "formattedCitation" : "&lt;sup&gt;48&lt;/sup&gt;", "plainTextFormattedCitation" : "48", "previouslyFormattedCitation" : "&lt;sup&gt;48&lt;/sup&gt;" }, "properties" : {  }, "schema" : "https://github.com/citation-style-language/schema/raw/master/csl-citation.json" }</w:instrText>
      </w:r>
      <w:r w:rsidR="00D90B26" w:rsidRPr="00AC1A16">
        <w:fldChar w:fldCharType="separate"/>
      </w:r>
      <w:r w:rsidR="005A18FE" w:rsidRPr="005A18FE">
        <w:rPr>
          <w:noProof/>
          <w:vertAlign w:val="superscript"/>
        </w:rPr>
        <w:t>48</w:t>
      </w:r>
      <w:r w:rsidR="00D90B26" w:rsidRPr="00AC1A16">
        <w:fldChar w:fldCharType="end"/>
      </w:r>
      <w:r w:rsidR="00E87362" w:rsidRPr="00AC1A16">
        <w:t xml:space="preserve">. On the other hand, a tannins solution was prepared based on the commercial mimosa extracts, which displayed a Stiasny number </w:t>
      </w:r>
      <w:r w:rsidR="00FA7B9E" w:rsidRPr="00AC1A16">
        <w:t>of 89.46±2.46</w:t>
      </w:r>
      <w:r w:rsidR="00E26B39" w:rsidRPr="00AC1A16">
        <w:fldChar w:fldCharType="begin" w:fldLock="1"/>
      </w:r>
      <w:r w:rsidR="005A18FE">
        <w:instrText>ADDIN CSL_CITATION { "citationItems" : [ { "id" : "ITEM-1", "itemData" : { "author" : [ { "dropping-particle" : "", "family" : "Yazaki", "given" : "Y.", "non-dropping-particle" : "", "parse-names" : false, "suffix" : "" }, { "dropping-particle" : "", "family" : "Hillis", "given" : "W.E.", "non-dropping-particle" : "", "parse-names" : false, "suffix" : "" } ], "container-title" : "Holtzforschung", "id" : "ITEM-1", "issued" : { "date-parts" : [ [ "1998" ] ] }, "page" : "125-130", "title" : "Molecular size distribution of radiate pine bark extracts and its effect on properties", "type" : "article-journal", "volume" : "34" }, "uris" : [ "http://www.mendeley.com/documents/?uuid=d58ee971-3e4c-3e93-9ba2-ac31e48864e7" ] } ], "mendeley" : { "formattedCitation" : "&lt;sup&gt;49&lt;/sup&gt;", "plainTextFormattedCitation" : "49", "previouslyFormattedCitation" : "&lt;sup&gt;49&lt;/sup&gt;" }, "properties" : {  }, "schema" : "https://github.com/citation-style-language/schema/raw/master/csl-citation.json" }</w:instrText>
      </w:r>
      <w:r w:rsidR="00E26B39" w:rsidRPr="00AC1A16">
        <w:fldChar w:fldCharType="separate"/>
      </w:r>
      <w:r w:rsidR="005A18FE" w:rsidRPr="005A18FE">
        <w:rPr>
          <w:noProof/>
          <w:vertAlign w:val="superscript"/>
        </w:rPr>
        <w:t>49</w:t>
      </w:r>
      <w:r w:rsidR="00E26B39" w:rsidRPr="00AC1A16">
        <w:fldChar w:fldCharType="end"/>
      </w:r>
      <w:r w:rsidR="00AF7CFC" w:rsidRPr="00AC1A16">
        <w:t>. The solution was done by dissolving the commercial mimosa extract in acetone (30%) at a concentration 45% (w/w). Once, the tannins were homogeneously dissolved, a solution of NaOH 30% (w/v) in water was added to fix the pH within the range 10-10.5.</w:t>
      </w:r>
      <w:r w:rsidR="00ED2AB0" w:rsidRPr="00AC1A16">
        <w:t xml:space="preserve"> Then, a</w:t>
      </w:r>
      <w:r w:rsidRPr="00AC1A16">
        <w:t xml:space="preserve"> hexamine solution</w:t>
      </w:r>
      <w:r w:rsidR="00ED2AB0" w:rsidRPr="00AC1A16">
        <w:t xml:space="preserve"> 30% (w/w)</w:t>
      </w:r>
      <w:r w:rsidRPr="00AC1A16">
        <w:t xml:space="preserve"> was poured into the tannins phase with a ratio hexamine solids:</w:t>
      </w:r>
      <w:r w:rsidR="00F80474" w:rsidRPr="00AC1A16">
        <w:t xml:space="preserve"> </w:t>
      </w:r>
      <w:r w:rsidRPr="00AC1A16">
        <w:t>tannin solids 1:20. Just after the addition of the hexamine, the functionalized lignin phase was added to the tannins phase w</w:t>
      </w:r>
      <w:r w:rsidR="00601A88" w:rsidRPr="00AC1A16">
        <w:t>ith a ratio functionalized-lignin: tannin-</w:t>
      </w:r>
      <w:r w:rsidRPr="00AC1A16">
        <w:t>solution 1:1. The form</w:t>
      </w:r>
      <w:r w:rsidR="00601A88" w:rsidRPr="00AC1A16">
        <w:t xml:space="preserve">ulations of the </w:t>
      </w:r>
      <w:r w:rsidR="00601A88" w:rsidRPr="00AC1A16">
        <w:lastRenderedPageBreak/>
        <w:t xml:space="preserve">resins synthesized </w:t>
      </w:r>
      <w:r w:rsidR="00ED2AB0" w:rsidRPr="00AC1A16">
        <w:t>a</w:t>
      </w:r>
      <w:r w:rsidR="00601A88" w:rsidRPr="00AC1A16">
        <w:t>re presented in table 1 as well as the amounts of the different components.</w:t>
      </w:r>
      <w:r w:rsidRPr="00AC1A16">
        <w:t xml:space="preserve"> </w:t>
      </w:r>
      <w:r w:rsidR="00ED2AB0" w:rsidRPr="00AC1A16">
        <w:t>T</w:t>
      </w:r>
      <w:r w:rsidRPr="00AC1A16">
        <w:t xml:space="preserve">he total amount of </w:t>
      </w:r>
      <w:r w:rsidR="004E7069" w:rsidRPr="00AC1A16">
        <w:t>biobased</w:t>
      </w:r>
      <w:r w:rsidRPr="00AC1A16">
        <w:t xml:space="preserve"> materials on dry basis </w:t>
      </w:r>
      <w:r w:rsidR="00601A88" w:rsidRPr="00AC1A16">
        <w:t xml:space="preserve">reached </w:t>
      </w:r>
      <w:r w:rsidR="0057434C" w:rsidRPr="00AC1A16">
        <w:t>≈90</w:t>
      </w:r>
      <w:r w:rsidR="00601A88" w:rsidRPr="00AC1A16">
        <w:t>% and avoided the employment toxic of compounds such as formaldehyde and phenol.</w:t>
      </w:r>
    </w:p>
    <w:p w14:paraId="71D89264" w14:textId="77777777" w:rsidR="00785F99" w:rsidRPr="00AC1A16" w:rsidRDefault="00601A88" w:rsidP="00FB7CC5">
      <w:pPr>
        <w:pStyle w:val="VDTableTitle"/>
      </w:pPr>
      <w:r w:rsidRPr="00AC1A16">
        <w:rPr>
          <w:b/>
        </w:rPr>
        <w:t>Table 1.</w:t>
      </w:r>
      <w:r w:rsidRPr="00AC1A16">
        <w:t xml:space="preserve"> Different formulations of the resins synthesized and their compositions</w:t>
      </w:r>
    </w:p>
    <w:tbl>
      <w:tblPr>
        <w:tblStyle w:val="Sombreadoclaro1"/>
        <w:tblW w:w="0" w:type="auto"/>
        <w:tblLook w:val="04A0" w:firstRow="1" w:lastRow="0" w:firstColumn="1" w:lastColumn="0" w:noHBand="0" w:noVBand="1"/>
      </w:tblPr>
      <w:tblGrid>
        <w:gridCol w:w="1404"/>
        <w:gridCol w:w="900"/>
        <w:gridCol w:w="990"/>
        <w:gridCol w:w="1265"/>
        <w:gridCol w:w="1752"/>
        <w:gridCol w:w="990"/>
        <w:gridCol w:w="1203"/>
      </w:tblGrid>
      <w:tr w:rsidR="00AC1A16" w:rsidRPr="00AC1A16" w14:paraId="54BC0E7E" w14:textId="77777777" w:rsidTr="00F8047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dxa"/>
            <w:vMerge w:val="restart"/>
            <w:shd w:val="clear" w:color="auto" w:fill="auto"/>
            <w:vAlign w:val="center"/>
          </w:tcPr>
          <w:p w14:paraId="1C74EE7B" w14:textId="77777777" w:rsidR="00C66CD6" w:rsidRPr="00AC1A16" w:rsidRDefault="00C66CD6" w:rsidP="00381C6E">
            <w:pPr>
              <w:pStyle w:val="TCTableBody"/>
              <w:rPr>
                <w:b w:val="0"/>
                <w:color w:val="auto"/>
              </w:rPr>
            </w:pPr>
            <w:r w:rsidRPr="00AC1A16">
              <w:rPr>
                <w:b w:val="0"/>
                <w:color w:val="auto"/>
              </w:rPr>
              <w:t>Formulation</w:t>
            </w:r>
          </w:p>
        </w:tc>
        <w:tc>
          <w:tcPr>
            <w:tcW w:w="7132" w:type="dxa"/>
            <w:gridSpan w:val="6"/>
            <w:shd w:val="clear" w:color="auto" w:fill="auto"/>
          </w:tcPr>
          <w:p w14:paraId="4CEDAABE" w14:textId="77777777" w:rsidR="00C66CD6" w:rsidRPr="00AC1A16" w:rsidRDefault="00C66CD6" w:rsidP="00381C6E">
            <w:pPr>
              <w:pStyle w:val="TCTableBody"/>
              <w:cnfStyle w:val="100000000000" w:firstRow="1" w:lastRow="0" w:firstColumn="0" w:lastColumn="0" w:oddVBand="0" w:evenVBand="0" w:oddHBand="0" w:evenHBand="0" w:firstRowFirstColumn="0" w:firstRowLastColumn="0" w:lastRowFirstColumn="0" w:lastRowLastColumn="0"/>
              <w:rPr>
                <w:b w:val="0"/>
                <w:color w:val="auto"/>
              </w:rPr>
            </w:pPr>
            <w:r w:rsidRPr="00AC1A16">
              <w:rPr>
                <w:b w:val="0"/>
                <w:color w:val="auto"/>
              </w:rPr>
              <w:t>Components % (w/w)</w:t>
            </w:r>
          </w:p>
        </w:tc>
      </w:tr>
      <w:tr w:rsidR="00AC1A16" w:rsidRPr="00AC1A16" w14:paraId="46583E97" w14:textId="77777777" w:rsidTr="00A87D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72" w:type="dxa"/>
            <w:vMerge/>
            <w:shd w:val="clear" w:color="auto" w:fill="auto"/>
          </w:tcPr>
          <w:p w14:paraId="4D84DEF3" w14:textId="77777777" w:rsidR="00C66CD6" w:rsidRPr="00AC1A16" w:rsidRDefault="00C66CD6" w:rsidP="00381C6E">
            <w:pPr>
              <w:pStyle w:val="TCTableBody"/>
              <w:rPr>
                <w:b w:val="0"/>
                <w:color w:val="auto"/>
              </w:rPr>
            </w:pPr>
          </w:p>
        </w:tc>
        <w:tc>
          <w:tcPr>
            <w:tcW w:w="1844" w:type="dxa"/>
            <w:gridSpan w:val="2"/>
            <w:shd w:val="clear" w:color="auto" w:fill="auto"/>
            <w:vAlign w:val="center"/>
          </w:tcPr>
          <w:p w14:paraId="7D69EEAF" w14:textId="77777777" w:rsidR="00C66CD6" w:rsidRPr="00AC1A16" w:rsidRDefault="00C66CD6" w:rsidP="00381C6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Lignin phase</w:t>
            </w:r>
          </w:p>
        </w:tc>
        <w:tc>
          <w:tcPr>
            <w:tcW w:w="3123" w:type="dxa"/>
            <w:gridSpan w:val="2"/>
            <w:shd w:val="clear" w:color="auto" w:fill="auto"/>
            <w:vAlign w:val="center"/>
          </w:tcPr>
          <w:p w14:paraId="63F6AAAE" w14:textId="77777777" w:rsidR="00C66CD6" w:rsidRPr="00AC1A16" w:rsidRDefault="00C66CD6" w:rsidP="00381C6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Inorganic nanoparticles</w:t>
            </w:r>
          </w:p>
        </w:tc>
        <w:tc>
          <w:tcPr>
            <w:tcW w:w="987" w:type="dxa"/>
            <w:vMerge w:val="restart"/>
            <w:shd w:val="clear" w:color="auto" w:fill="auto"/>
            <w:vAlign w:val="center"/>
          </w:tcPr>
          <w:p w14:paraId="08FEBFD6" w14:textId="77777777" w:rsidR="00C66CD6" w:rsidRPr="00AC1A16" w:rsidRDefault="00C66CD6" w:rsidP="00381C6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Tannins</w:t>
            </w:r>
          </w:p>
        </w:tc>
        <w:tc>
          <w:tcPr>
            <w:tcW w:w="1178" w:type="dxa"/>
            <w:vMerge w:val="restart"/>
            <w:shd w:val="clear" w:color="auto" w:fill="auto"/>
            <w:vAlign w:val="center"/>
          </w:tcPr>
          <w:p w14:paraId="30123A6D" w14:textId="77777777" w:rsidR="00C66CD6" w:rsidRPr="00AC1A16" w:rsidRDefault="00C66CD6" w:rsidP="00381C6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Hexamine</w:t>
            </w:r>
          </w:p>
        </w:tc>
      </w:tr>
      <w:tr w:rsidR="00AC1A16" w:rsidRPr="00AC1A16" w14:paraId="54EB2F6A" w14:textId="77777777" w:rsidTr="00A87D36">
        <w:trPr>
          <w:trHeight w:val="326"/>
        </w:trPr>
        <w:tc>
          <w:tcPr>
            <w:cnfStyle w:val="001000000000" w:firstRow="0" w:lastRow="0" w:firstColumn="1" w:lastColumn="0" w:oddVBand="0" w:evenVBand="0" w:oddHBand="0" w:evenHBand="0" w:firstRowFirstColumn="0" w:firstRowLastColumn="0" w:lastRowFirstColumn="0" w:lastRowLastColumn="0"/>
            <w:tcW w:w="1372" w:type="dxa"/>
            <w:vMerge/>
            <w:tcBorders>
              <w:bottom w:val="single" w:sz="4" w:space="0" w:color="auto"/>
            </w:tcBorders>
            <w:shd w:val="clear" w:color="auto" w:fill="auto"/>
          </w:tcPr>
          <w:p w14:paraId="4265FC46" w14:textId="77777777" w:rsidR="00C66CD6" w:rsidRPr="00AC1A16" w:rsidRDefault="00C66CD6" w:rsidP="00381C6E">
            <w:pPr>
              <w:pStyle w:val="TCTableBody"/>
              <w:rPr>
                <w:color w:val="auto"/>
              </w:rPr>
            </w:pPr>
          </w:p>
        </w:tc>
        <w:tc>
          <w:tcPr>
            <w:tcW w:w="905" w:type="dxa"/>
            <w:tcBorders>
              <w:bottom w:val="single" w:sz="4" w:space="0" w:color="auto"/>
            </w:tcBorders>
            <w:shd w:val="clear" w:color="auto" w:fill="auto"/>
            <w:vAlign w:val="center"/>
          </w:tcPr>
          <w:p w14:paraId="5D8BE5F7" w14:textId="77777777" w:rsidR="00C66CD6" w:rsidRPr="00AC1A16" w:rsidRDefault="00C66CD6" w:rsidP="00381C6E">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Lignin</w:t>
            </w:r>
          </w:p>
        </w:tc>
        <w:tc>
          <w:tcPr>
            <w:tcW w:w="939" w:type="dxa"/>
            <w:tcBorders>
              <w:bottom w:val="single" w:sz="4" w:space="0" w:color="auto"/>
            </w:tcBorders>
            <w:shd w:val="clear" w:color="auto" w:fill="auto"/>
            <w:vAlign w:val="center"/>
          </w:tcPr>
          <w:p w14:paraId="5B021B15" w14:textId="77777777" w:rsidR="00C66CD6" w:rsidRPr="00AC1A16" w:rsidRDefault="00C66CD6" w:rsidP="00381C6E">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Glyoxal</w:t>
            </w:r>
          </w:p>
        </w:tc>
        <w:tc>
          <w:tcPr>
            <w:tcW w:w="1307" w:type="dxa"/>
            <w:tcBorders>
              <w:bottom w:val="single" w:sz="4" w:space="0" w:color="auto"/>
            </w:tcBorders>
            <w:shd w:val="clear" w:color="auto" w:fill="auto"/>
            <w:vAlign w:val="center"/>
          </w:tcPr>
          <w:p w14:paraId="7AD5D31C" w14:textId="77777777" w:rsidR="00C66CD6" w:rsidRPr="00AC1A16" w:rsidRDefault="00C66CD6" w:rsidP="00381C6E">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Dellite 43B</w:t>
            </w:r>
          </w:p>
        </w:tc>
        <w:tc>
          <w:tcPr>
            <w:tcW w:w="1816" w:type="dxa"/>
            <w:tcBorders>
              <w:bottom w:val="single" w:sz="4" w:space="0" w:color="auto"/>
            </w:tcBorders>
            <w:shd w:val="clear" w:color="auto" w:fill="auto"/>
            <w:vAlign w:val="center"/>
          </w:tcPr>
          <w:p w14:paraId="7810DB3F" w14:textId="77777777" w:rsidR="00C66CD6" w:rsidRPr="00AC1A16" w:rsidRDefault="00C66CD6" w:rsidP="00381C6E">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Trisilanol POSS</w:t>
            </w:r>
          </w:p>
        </w:tc>
        <w:tc>
          <w:tcPr>
            <w:tcW w:w="987" w:type="dxa"/>
            <w:vMerge/>
            <w:tcBorders>
              <w:bottom w:val="single" w:sz="4" w:space="0" w:color="auto"/>
            </w:tcBorders>
            <w:shd w:val="clear" w:color="auto" w:fill="auto"/>
            <w:vAlign w:val="center"/>
          </w:tcPr>
          <w:p w14:paraId="39B7E650" w14:textId="77777777" w:rsidR="00C66CD6" w:rsidRPr="00AC1A16" w:rsidRDefault="00C66CD6" w:rsidP="00381C6E">
            <w:pPr>
              <w:pStyle w:val="TCTableBody"/>
              <w:cnfStyle w:val="000000000000" w:firstRow="0" w:lastRow="0" w:firstColumn="0" w:lastColumn="0" w:oddVBand="0" w:evenVBand="0" w:oddHBand="0" w:evenHBand="0" w:firstRowFirstColumn="0" w:firstRowLastColumn="0" w:lastRowFirstColumn="0" w:lastRowLastColumn="0"/>
              <w:rPr>
                <w:color w:val="auto"/>
              </w:rPr>
            </w:pPr>
          </w:p>
        </w:tc>
        <w:tc>
          <w:tcPr>
            <w:tcW w:w="1178" w:type="dxa"/>
            <w:vMerge/>
            <w:tcBorders>
              <w:bottom w:val="single" w:sz="4" w:space="0" w:color="auto"/>
            </w:tcBorders>
            <w:shd w:val="clear" w:color="auto" w:fill="auto"/>
            <w:vAlign w:val="center"/>
          </w:tcPr>
          <w:p w14:paraId="5F0B7097" w14:textId="77777777" w:rsidR="00C66CD6" w:rsidRPr="00AC1A16" w:rsidRDefault="00C66CD6" w:rsidP="00381C6E">
            <w:pPr>
              <w:pStyle w:val="TCTableBody"/>
              <w:cnfStyle w:val="000000000000" w:firstRow="0" w:lastRow="0" w:firstColumn="0" w:lastColumn="0" w:oddVBand="0" w:evenVBand="0" w:oddHBand="0" w:evenHBand="0" w:firstRowFirstColumn="0" w:firstRowLastColumn="0" w:lastRowFirstColumn="0" w:lastRowLastColumn="0"/>
              <w:rPr>
                <w:color w:val="auto"/>
              </w:rPr>
            </w:pPr>
          </w:p>
        </w:tc>
      </w:tr>
      <w:tr w:rsidR="00AC1A16" w:rsidRPr="00AC1A16" w14:paraId="26B55BA2" w14:textId="77777777" w:rsidTr="00A87D36">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372" w:type="dxa"/>
            <w:tcBorders>
              <w:top w:val="single" w:sz="4" w:space="0" w:color="auto"/>
            </w:tcBorders>
            <w:shd w:val="clear" w:color="auto" w:fill="auto"/>
            <w:vAlign w:val="center"/>
          </w:tcPr>
          <w:p w14:paraId="5D86D830" w14:textId="77777777" w:rsidR="00F17472" w:rsidRPr="00AC1A16" w:rsidRDefault="00F17472" w:rsidP="00381C6E">
            <w:pPr>
              <w:pStyle w:val="TCTableBody"/>
              <w:rPr>
                <w:b w:val="0"/>
                <w:color w:val="auto"/>
              </w:rPr>
            </w:pPr>
            <w:r w:rsidRPr="00AC1A16">
              <w:rPr>
                <w:b w:val="0"/>
                <w:color w:val="auto"/>
              </w:rPr>
              <w:t>Reference</w:t>
            </w:r>
          </w:p>
        </w:tc>
        <w:tc>
          <w:tcPr>
            <w:tcW w:w="905" w:type="dxa"/>
            <w:tcBorders>
              <w:top w:val="single" w:sz="4" w:space="0" w:color="auto"/>
            </w:tcBorders>
            <w:shd w:val="clear" w:color="auto" w:fill="auto"/>
            <w:vAlign w:val="center"/>
          </w:tcPr>
          <w:p w14:paraId="19208BBF" w14:textId="77777777" w:rsidR="00F17472" w:rsidRPr="00AC1A16" w:rsidRDefault="00C66CD6" w:rsidP="00381C6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4</w:t>
            </w:r>
            <w:r w:rsidR="0057434C" w:rsidRPr="00AC1A16">
              <w:rPr>
                <w:color w:val="auto"/>
              </w:rPr>
              <w:t>5.62</w:t>
            </w:r>
          </w:p>
        </w:tc>
        <w:tc>
          <w:tcPr>
            <w:tcW w:w="939" w:type="dxa"/>
            <w:tcBorders>
              <w:top w:val="single" w:sz="4" w:space="0" w:color="auto"/>
            </w:tcBorders>
            <w:shd w:val="clear" w:color="auto" w:fill="auto"/>
            <w:vAlign w:val="center"/>
          </w:tcPr>
          <w:p w14:paraId="109DDDDB" w14:textId="77777777" w:rsidR="00F17472" w:rsidRPr="00AC1A16" w:rsidRDefault="0057434C" w:rsidP="00381C6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6.48</w:t>
            </w:r>
          </w:p>
        </w:tc>
        <w:tc>
          <w:tcPr>
            <w:tcW w:w="1307" w:type="dxa"/>
            <w:tcBorders>
              <w:top w:val="single" w:sz="4" w:space="0" w:color="auto"/>
            </w:tcBorders>
            <w:shd w:val="clear" w:color="auto" w:fill="auto"/>
            <w:vAlign w:val="center"/>
          </w:tcPr>
          <w:p w14:paraId="1354C845" w14:textId="77777777" w:rsidR="00F17472" w:rsidRPr="00AC1A16" w:rsidRDefault="003076C7" w:rsidP="00381C6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w:t>
            </w:r>
          </w:p>
        </w:tc>
        <w:tc>
          <w:tcPr>
            <w:tcW w:w="1816" w:type="dxa"/>
            <w:tcBorders>
              <w:top w:val="single" w:sz="4" w:space="0" w:color="auto"/>
            </w:tcBorders>
            <w:shd w:val="clear" w:color="auto" w:fill="auto"/>
            <w:vAlign w:val="center"/>
          </w:tcPr>
          <w:p w14:paraId="3693AAE6" w14:textId="77777777" w:rsidR="00F17472" w:rsidRPr="00AC1A16" w:rsidRDefault="003076C7" w:rsidP="00381C6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w:t>
            </w:r>
          </w:p>
        </w:tc>
        <w:tc>
          <w:tcPr>
            <w:tcW w:w="987" w:type="dxa"/>
            <w:tcBorders>
              <w:top w:val="single" w:sz="4" w:space="0" w:color="auto"/>
            </w:tcBorders>
            <w:shd w:val="clear" w:color="auto" w:fill="auto"/>
            <w:vAlign w:val="center"/>
          </w:tcPr>
          <w:p w14:paraId="5A101D5C" w14:textId="77777777" w:rsidR="00F17472" w:rsidRPr="00AC1A16" w:rsidRDefault="0057434C" w:rsidP="00381C6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45.62</w:t>
            </w:r>
          </w:p>
        </w:tc>
        <w:tc>
          <w:tcPr>
            <w:tcW w:w="1178" w:type="dxa"/>
            <w:tcBorders>
              <w:top w:val="single" w:sz="4" w:space="0" w:color="auto"/>
            </w:tcBorders>
            <w:shd w:val="clear" w:color="auto" w:fill="auto"/>
            <w:vAlign w:val="center"/>
          </w:tcPr>
          <w:p w14:paraId="37432A2A" w14:textId="77777777" w:rsidR="00F17472" w:rsidRPr="00AC1A16" w:rsidRDefault="0057434C" w:rsidP="00381C6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2.28</w:t>
            </w:r>
          </w:p>
        </w:tc>
      </w:tr>
      <w:tr w:rsidR="00AC1A16" w:rsidRPr="00AC1A16" w14:paraId="2AE1FC7C" w14:textId="77777777" w:rsidTr="00A87D36">
        <w:trPr>
          <w:trHeight w:val="287"/>
        </w:trPr>
        <w:tc>
          <w:tcPr>
            <w:cnfStyle w:val="001000000000" w:firstRow="0" w:lastRow="0" w:firstColumn="1" w:lastColumn="0" w:oddVBand="0" w:evenVBand="0" w:oddHBand="0" w:evenHBand="0" w:firstRowFirstColumn="0" w:firstRowLastColumn="0" w:lastRowFirstColumn="0" w:lastRowLastColumn="0"/>
            <w:tcW w:w="1372" w:type="dxa"/>
            <w:shd w:val="clear" w:color="auto" w:fill="auto"/>
            <w:vAlign w:val="center"/>
          </w:tcPr>
          <w:p w14:paraId="16892F8B" w14:textId="77777777" w:rsidR="0057434C" w:rsidRPr="00AC1A16" w:rsidRDefault="0057434C" w:rsidP="00381C6E">
            <w:pPr>
              <w:pStyle w:val="TCTableBody"/>
              <w:rPr>
                <w:b w:val="0"/>
                <w:color w:val="auto"/>
              </w:rPr>
            </w:pPr>
            <w:r w:rsidRPr="00AC1A16">
              <w:rPr>
                <w:b w:val="0"/>
                <w:color w:val="auto"/>
              </w:rPr>
              <w:t>R</w:t>
            </w:r>
            <w:r w:rsidRPr="00AC1A16">
              <w:rPr>
                <w:b w:val="0"/>
                <w:color w:val="auto"/>
                <w:vertAlign w:val="subscript"/>
              </w:rPr>
              <w:t>A</w:t>
            </w:r>
          </w:p>
        </w:tc>
        <w:tc>
          <w:tcPr>
            <w:tcW w:w="905" w:type="dxa"/>
            <w:vMerge w:val="restart"/>
            <w:shd w:val="clear" w:color="auto" w:fill="auto"/>
            <w:vAlign w:val="center"/>
          </w:tcPr>
          <w:p w14:paraId="27F1AB3C" w14:textId="77777777" w:rsidR="0057434C" w:rsidRPr="00AC1A16" w:rsidRDefault="0057434C" w:rsidP="00381C6E">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44.61</w:t>
            </w:r>
          </w:p>
        </w:tc>
        <w:tc>
          <w:tcPr>
            <w:tcW w:w="939" w:type="dxa"/>
            <w:vMerge w:val="restart"/>
            <w:shd w:val="clear" w:color="auto" w:fill="auto"/>
            <w:vAlign w:val="center"/>
          </w:tcPr>
          <w:p w14:paraId="7D42D810" w14:textId="77777777" w:rsidR="0057434C" w:rsidRPr="00AC1A16" w:rsidRDefault="0057434C" w:rsidP="00381C6E">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6.33</w:t>
            </w:r>
          </w:p>
        </w:tc>
        <w:tc>
          <w:tcPr>
            <w:tcW w:w="1307" w:type="dxa"/>
            <w:shd w:val="clear" w:color="auto" w:fill="auto"/>
            <w:vAlign w:val="center"/>
          </w:tcPr>
          <w:p w14:paraId="0867D1A8" w14:textId="77777777" w:rsidR="0057434C" w:rsidRPr="00AC1A16" w:rsidRDefault="0057434C" w:rsidP="00381C6E">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2.23</w:t>
            </w:r>
          </w:p>
        </w:tc>
        <w:tc>
          <w:tcPr>
            <w:tcW w:w="1816" w:type="dxa"/>
            <w:shd w:val="clear" w:color="auto" w:fill="auto"/>
            <w:vAlign w:val="center"/>
          </w:tcPr>
          <w:p w14:paraId="11E2C69E" w14:textId="77777777" w:rsidR="0057434C" w:rsidRPr="00AC1A16" w:rsidRDefault="0057434C" w:rsidP="00381C6E">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w:t>
            </w:r>
          </w:p>
        </w:tc>
        <w:tc>
          <w:tcPr>
            <w:tcW w:w="987" w:type="dxa"/>
            <w:vMerge w:val="restart"/>
            <w:shd w:val="clear" w:color="auto" w:fill="auto"/>
            <w:vAlign w:val="center"/>
          </w:tcPr>
          <w:p w14:paraId="43EA51CC" w14:textId="77777777" w:rsidR="0057434C" w:rsidRPr="00AC1A16" w:rsidRDefault="0057434C" w:rsidP="00381C6E">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44.60</w:t>
            </w:r>
          </w:p>
        </w:tc>
        <w:tc>
          <w:tcPr>
            <w:tcW w:w="1178" w:type="dxa"/>
            <w:vMerge w:val="restart"/>
            <w:shd w:val="clear" w:color="auto" w:fill="auto"/>
            <w:vAlign w:val="center"/>
          </w:tcPr>
          <w:p w14:paraId="0F50D402" w14:textId="77777777" w:rsidR="0057434C" w:rsidRPr="00AC1A16" w:rsidRDefault="0057434C" w:rsidP="00381C6E">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2.23</w:t>
            </w:r>
          </w:p>
        </w:tc>
      </w:tr>
      <w:tr w:rsidR="00AC1A16" w:rsidRPr="00AC1A16" w14:paraId="0E7493B2" w14:textId="77777777" w:rsidTr="00A87D36">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1372" w:type="dxa"/>
            <w:shd w:val="clear" w:color="auto" w:fill="auto"/>
          </w:tcPr>
          <w:p w14:paraId="3A9FFDE2" w14:textId="77777777" w:rsidR="0057434C" w:rsidRPr="00AC1A16" w:rsidRDefault="0057434C" w:rsidP="00381C6E">
            <w:pPr>
              <w:pStyle w:val="TCTableBody"/>
              <w:rPr>
                <w:b w:val="0"/>
                <w:color w:val="auto"/>
              </w:rPr>
            </w:pPr>
            <w:r w:rsidRPr="00AC1A16">
              <w:rPr>
                <w:b w:val="0"/>
                <w:color w:val="auto"/>
              </w:rPr>
              <w:t>R</w:t>
            </w:r>
            <w:r w:rsidRPr="00AC1A16">
              <w:rPr>
                <w:b w:val="0"/>
                <w:color w:val="auto"/>
                <w:vertAlign w:val="subscript"/>
              </w:rPr>
              <w:t>B</w:t>
            </w:r>
          </w:p>
        </w:tc>
        <w:tc>
          <w:tcPr>
            <w:tcW w:w="905" w:type="dxa"/>
            <w:vMerge/>
            <w:shd w:val="clear" w:color="auto" w:fill="auto"/>
          </w:tcPr>
          <w:p w14:paraId="26DBA2F7" w14:textId="77777777" w:rsidR="0057434C" w:rsidRPr="00AC1A16" w:rsidRDefault="0057434C" w:rsidP="00381C6E">
            <w:pPr>
              <w:pStyle w:val="TCTableBody"/>
              <w:cnfStyle w:val="000000100000" w:firstRow="0" w:lastRow="0" w:firstColumn="0" w:lastColumn="0" w:oddVBand="0" w:evenVBand="0" w:oddHBand="1" w:evenHBand="0" w:firstRowFirstColumn="0" w:firstRowLastColumn="0" w:lastRowFirstColumn="0" w:lastRowLastColumn="0"/>
              <w:rPr>
                <w:color w:val="auto"/>
              </w:rPr>
            </w:pPr>
          </w:p>
        </w:tc>
        <w:tc>
          <w:tcPr>
            <w:tcW w:w="939" w:type="dxa"/>
            <w:vMerge/>
            <w:shd w:val="clear" w:color="auto" w:fill="auto"/>
          </w:tcPr>
          <w:p w14:paraId="5307ABBB" w14:textId="77777777" w:rsidR="0057434C" w:rsidRPr="00AC1A16" w:rsidRDefault="0057434C" w:rsidP="00381C6E">
            <w:pPr>
              <w:pStyle w:val="TCTableBody"/>
              <w:cnfStyle w:val="000000100000" w:firstRow="0" w:lastRow="0" w:firstColumn="0" w:lastColumn="0" w:oddVBand="0" w:evenVBand="0" w:oddHBand="1" w:evenHBand="0" w:firstRowFirstColumn="0" w:firstRowLastColumn="0" w:lastRowFirstColumn="0" w:lastRowLastColumn="0"/>
              <w:rPr>
                <w:color w:val="auto"/>
              </w:rPr>
            </w:pPr>
          </w:p>
        </w:tc>
        <w:tc>
          <w:tcPr>
            <w:tcW w:w="1307" w:type="dxa"/>
            <w:shd w:val="clear" w:color="auto" w:fill="auto"/>
          </w:tcPr>
          <w:p w14:paraId="68540224" w14:textId="77777777" w:rsidR="0057434C" w:rsidRPr="00AC1A16" w:rsidRDefault="0057434C" w:rsidP="00381C6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w:t>
            </w:r>
          </w:p>
        </w:tc>
        <w:tc>
          <w:tcPr>
            <w:tcW w:w="1816" w:type="dxa"/>
            <w:shd w:val="clear" w:color="auto" w:fill="auto"/>
          </w:tcPr>
          <w:p w14:paraId="79E31DC7" w14:textId="77777777" w:rsidR="0057434C" w:rsidRPr="00AC1A16" w:rsidRDefault="0057434C" w:rsidP="00381C6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2.23</w:t>
            </w:r>
          </w:p>
        </w:tc>
        <w:tc>
          <w:tcPr>
            <w:tcW w:w="987" w:type="dxa"/>
            <w:vMerge/>
            <w:shd w:val="clear" w:color="auto" w:fill="auto"/>
          </w:tcPr>
          <w:p w14:paraId="18FA616B" w14:textId="77777777" w:rsidR="0057434C" w:rsidRPr="00AC1A16" w:rsidRDefault="0057434C" w:rsidP="003C2B7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rPr>
            </w:pPr>
          </w:p>
        </w:tc>
        <w:tc>
          <w:tcPr>
            <w:tcW w:w="1178" w:type="dxa"/>
            <w:vMerge/>
            <w:shd w:val="clear" w:color="auto" w:fill="auto"/>
          </w:tcPr>
          <w:p w14:paraId="5877FEBE" w14:textId="77777777" w:rsidR="0057434C" w:rsidRPr="00AC1A16" w:rsidRDefault="0057434C" w:rsidP="003C2B7C">
            <w:pPr>
              <w:spacing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rPr>
            </w:pPr>
          </w:p>
        </w:tc>
      </w:tr>
    </w:tbl>
    <w:p w14:paraId="0A2DEEAD" w14:textId="77777777" w:rsidR="00E26B39" w:rsidRPr="00AC1A16" w:rsidRDefault="00E26B39" w:rsidP="007A2267">
      <w:pPr>
        <w:pStyle w:val="TAMainText"/>
      </w:pPr>
    </w:p>
    <w:p w14:paraId="692430EF" w14:textId="2B9D8136" w:rsidR="009B644B" w:rsidRPr="00AC1A16" w:rsidRDefault="009B644B" w:rsidP="007A2267">
      <w:pPr>
        <w:pStyle w:val="TAMainText"/>
      </w:pPr>
      <w:r w:rsidRPr="00AC1A16">
        <w:t xml:space="preserve"> Chemical characterization of the resins</w:t>
      </w:r>
    </w:p>
    <w:p w14:paraId="2C7641ED" w14:textId="2B5C71DE" w:rsidR="009B644B" w:rsidRPr="00AC1A16" w:rsidRDefault="009B644B" w:rsidP="007A2267">
      <w:pPr>
        <w:pStyle w:val="TAMainText"/>
      </w:pPr>
      <w:r w:rsidRPr="00AC1A16">
        <w:t>The different formulations of the resins were analyzed chemically based on several physical-chemical parameters and other important properties.</w:t>
      </w:r>
      <w:r w:rsidR="00290CF4" w:rsidRPr="00AC1A16">
        <w:t xml:space="preserve"> All the presented properties were measured in triplicate for each sample.</w:t>
      </w:r>
    </w:p>
    <w:p w14:paraId="4FCBF9AA" w14:textId="77777777" w:rsidR="009B644B" w:rsidRPr="00AC1A16" w:rsidRDefault="009B644B" w:rsidP="007A2267">
      <w:pPr>
        <w:pStyle w:val="TAMainText"/>
      </w:pPr>
      <w:r w:rsidRPr="00AC1A16">
        <w:t xml:space="preserve">The pH of the liquid fraction was determined by using a pH meter “CRISON basic 20”. </w:t>
      </w:r>
    </w:p>
    <w:p w14:paraId="5F35BD0E" w14:textId="77777777" w:rsidR="009B644B" w:rsidRPr="00AC1A16" w:rsidRDefault="009B644B" w:rsidP="007A2267">
      <w:pPr>
        <w:pStyle w:val="TAMainText"/>
      </w:pPr>
      <w:r w:rsidRPr="00AC1A16">
        <w:t>The density was calculated gravimetrically by measuring the weight of known volume (5mL) of a volumetric flask filled with the liquid fraction.</w:t>
      </w:r>
    </w:p>
    <w:p w14:paraId="2BA2BB2C" w14:textId="531C738A" w:rsidR="009B644B" w:rsidRPr="00AC1A16" w:rsidRDefault="009B644B" w:rsidP="007A2267">
      <w:pPr>
        <w:pStyle w:val="TAMainText"/>
      </w:pPr>
      <w:r w:rsidRPr="00AC1A16">
        <w:t xml:space="preserve">For the determination of the </w:t>
      </w:r>
      <w:r w:rsidR="00614364" w:rsidRPr="00AC1A16">
        <w:t xml:space="preserve">apparent </w:t>
      </w:r>
      <w:r w:rsidRPr="00AC1A16">
        <w:t xml:space="preserve">viscosity, a viscometer (Fungilab) was used with a low viscosity adapter (LCP) APM/B. The measurement was carried out with a resin volume of 6 mL, a cylindrical spindle TL5 and a rotational speed of 5-10 rpm. The values of the </w:t>
      </w:r>
      <w:r w:rsidR="00614364" w:rsidRPr="00AC1A16">
        <w:t xml:space="preserve">apparent </w:t>
      </w:r>
      <w:r w:rsidRPr="00AC1A16">
        <w:t>viscosity were taken after a period of 1h, when no significant differences were observed.</w:t>
      </w:r>
    </w:p>
    <w:p w14:paraId="1CF34ED8" w14:textId="77777777" w:rsidR="009B644B" w:rsidRPr="00AC1A16" w:rsidRDefault="009B644B" w:rsidP="007A2267">
      <w:pPr>
        <w:pStyle w:val="TAMainText"/>
      </w:pPr>
      <w:r w:rsidRPr="00AC1A16">
        <w:lastRenderedPageBreak/>
        <w:t xml:space="preserve">The content of nonvolatile compounds was obtained following the </w:t>
      </w:r>
      <w:r w:rsidRPr="00AC1A16">
        <w:rPr>
          <w:i/>
        </w:rPr>
        <w:t>procedure ASTM D4426-01: Standard Test Method for Determination of Percent Nonvolatile Content of Liquid Phenolic Resins Used for Wood Laminating</w:t>
      </w:r>
      <w:r w:rsidRPr="00AC1A16">
        <w:t>.</w:t>
      </w:r>
    </w:p>
    <w:p w14:paraId="3D246F5D" w14:textId="72CCE1C5" w:rsidR="009B644B" w:rsidRPr="00AC1A16" w:rsidRDefault="009B644B" w:rsidP="007A2267">
      <w:pPr>
        <w:pStyle w:val="TAMainText"/>
        <w:rPr>
          <w:b/>
        </w:rPr>
      </w:pPr>
    </w:p>
    <w:p w14:paraId="39D113C9" w14:textId="31789D87" w:rsidR="006B34DB" w:rsidRPr="00AC1A16" w:rsidRDefault="00E25DCB" w:rsidP="007A2267">
      <w:pPr>
        <w:pStyle w:val="TAMainText"/>
      </w:pPr>
      <w:r w:rsidRPr="00AC1A16">
        <w:t>Process of coating application</w:t>
      </w:r>
    </w:p>
    <w:p w14:paraId="16848B8C" w14:textId="38FE4791" w:rsidR="009F6014" w:rsidRPr="00AC1A16" w:rsidRDefault="009F6014" w:rsidP="007A2267">
      <w:pPr>
        <w:pStyle w:val="TAMainText"/>
      </w:pPr>
      <w:r w:rsidRPr="00AC1A16">
        <w:t>Two wood species were selected for the deposition of the resins previously synthesized: a softwood specie (</w:t>
      </w:r>
      <w:r w:rsidR="00FE0ACA" w:rsidRPr="00AC1A16">
        <w:t>m</w:t>
      </w:r>
      <w:r w:rsidR="008616D1" w:rsidRPr="00AC1A16">
        <w:t>aritime pine</w:t>
      </w:r>
      <w:r w:rsidRPr="00AC1A16">
        <w:t>) and a hardwood specie (</w:t>
      </w:r>
      <w:r w:rsidR="00FE0ACA" w:rsidRPr="00AC1A16">
        <w:t>b</w:t>
      </w:r>
      <w:r w:rsidR="008616D1" w:rsidRPr="00AC1A16">
        <w:t>eech</w:t>
      </w:r>
      <w:r w:rsidRPr="00AC1A16">
        <w:t>).</w:t>
      </w:r>
      <w:r w:rsidR="003C17F8" w:rsidRPr="00AC1A16">
        <w:t xml:space="preserve"> Information related to the anatomy and intrinsic properties of both wood species is included in</w:t>
      </w:r>
      <w:r w:rsidR="00DA3082" w:rsidRPr="00AC1A16">
        <w:t xml:space="preserve"> A</w:t>
      </w:r>
      <w:r w:rsidR="00B71202">
        <w:t>ppendix</w:t>
      </w:r>
      <w:r w:rsidR="00DA3082" w:rsidRPr="00AC1A16">
        <w:t xml:space="preserve"> A1 of Supporting information with comparison purpose in further analyses.</w:t>
      </w:r>
      <w:r w:rsidR="0033791E" w:rsidRPr="00AC1A16">
        <w:t xml:space="preserve"> Thereby, the influence of the wood specie over the performance of the coatings could be analyzed.</w:t>
      </w:r>
      <w:r w:rsidRPr="00AC1A16">
        <w:t xml:space="preserve"> </w:t>
      </w:r>
      <w:r w:rsidR="0033791E" w:rsidRPr="00AC1A16">
        <w:t>Then two samples of each species were cut with</w:t>
      </w:r>
      <w:r w:rsidRPr="00AC1A16">
        <w:t xml:space="preserve"> </w:t>
      </w:r>
      <w:r w:rsidR="0033791E" w:rsidRPr="00AC1A16">
        <w:t>dimensions 300x80x20 mm, using a table saw with a circular saw</w:t>
      </w:r>
      <w:r w:rsidR="005F2917" w:rsidRPr="00AC1A16">
        <w:t>. The smaller samples of wood used in the different analyses</w:t>
      </w:r>
      <w:r w:rsidR="008C5AA4" w:rsidRPr="00AC1A16">
        <w:t xml:space="preserve"> for the assessment of the fireproofing properties,</w:t>
      </w:r>
      <w:r w:rsidR="005F2917" w:rsidRPr="00AC1A16">
        <w:t xml:space="preserve"> were cut from these bigger panels of wood.</w:t>
      </w:r>
    </w:p>
    <w:p w14:paraId="44115767" w14:textId="29E2AA2D" w:rsidR="003C2B7C" w:rsidRPr="00AC1A16" w:rsidRDefault="0033791E" w:rsidP="007A2267">
      <w:pPr>
        <w:pStyle w:val="TAMainText"/>
      </w:pPr>
      <w:r w:rsidRPr="00AC1A16">
        <w:t xml:space="preserve">For the </w:t>
      </w:r>
      <w:r w:rsidR="009F5D1C" w:rsidRPr="00AC1A16">
        <w:t xml:space="preserve">application </w:t>
      </w:r>
      <w:r w:rsidR="00E25DCB" w:rsidRPr="00AC1A16">
        <w:t xml:space="preserve">of the </w:t>
      </w:r>
      <w:r w:rsidR="004E7069" w:rsidRPr="00AC1A16">
        <w:t>biobased</w:t>
      </w:r>
      <w:r w:rsidR="00E25DCB" w:rsidRPr="00AC1A16">
        <w:t xml:space="preserve"> phenolic resins as a coating</w:t>
      </w:r>
      <w:r w:rsidRPr="00AC1A16">
        <w:t>,</w:t>
      </w:r>
      <w:r w:rsidR="00E25DCB" w:rsidRPr="00AC1A16">
        <w:t xml:space="preserve"> </w:t>
      </w:r>
      <w:r w:rsidRPr="00AC1A16">
        <w:t xml:space="preserve">the wood samples were previously prepared. </w:t>
      </w:r>
      <w:r w:rsidR="00C938FC" w:rsidRPr="00AC1A16">
        <w:t>The wooden surfaces were sanded using fine abrasive paper as a pretreatment to obtain uniform surfaces as smooth and even as possible prior to coating application. First, each surface was sanded with the paper of grain size 80, then grain paper 100 was applied and finally sanded with grain paper 120. After each sanding process the surfaces were dedusted (brushing out of pores)</w:t>
      </w:r>
      <w:r w:rsidR="00A72F06" w:rsidRPr="00AC1A16">
        <w:t xml:space="preserve">. Then, </w:t>
      </w:r>
      <w:r w:rsidRPr="00AC1A16">
        <w:t xml:space="preserve">they </w:t>
      </w:r>
      <w:r w:rsidR="00C25E6D" w:rsidRPr="00AC1A16">
        <w:t xml:space="preserve">were conditioned for 7 days at specific conditions of temperature and relative humidity (25 ºC and 65%). </w:t>
      </w:r>
    </w:p>
    <w:p w14:paraId="7F599621" w14:textId="7AAECEE2" w:rsidR="005F2917" w:rsidRPr="00AC1A16" w:rsidRDefault="00C25E6D" w:rsidP="007A2267">
      <w:pPr>
        <w:pStyle w:val="TAMainText"/>
      </w:pPr>
      <w:r w:rsidRPr="00AC1A16">
        <w:t xml:space="preserve">Concerning the deposition of the resins over the wood surface, two important features were considered namely mass of resin applied and method of application. </w:t>
      </w:r>
      <w:r w:rsidR="00873BB9" w:rsidRPr="00AC1A16">
        <w:t xml:space="preserve">The process followed for </w:t>
      </w:r>
      <w:r w:rsidR="00415896" w:rsidRPr="00AC1A16">
        <w:t>selecting</w:t>
      </w:r>
      <w:r w:rsidR="00873BB9" w:rsidRPr="00AC1A16">
        <w:t xml:space="preserve"> th</w:t>
      </w:r>
      <w:r w:rsidR="00415896" w:rsidRPr="00AC1A16">
        <w:t>ose</w:t>
      </w:r>
      <w:r w:rsidR="00873BB9" w:rsidRPr="00AC1A16">
        <w:t xml:space="preserve"> parameter</w:t>
      </w:r>
      <w:r w:rsidR="00415896" w:rsidRPr="00AC1A16">
        <w:t>s</w:t>
      </w:r>
      <w:r w:rsidR="00873BB9" w:rsidRPr="00AC1A16">
        <w:t xml:space="preserve"> is described in Appendix A</w:t>
      </w:r>
      <w:r w:rsidR="00573948" w:rsidRPr="00AC1A16">
        <w:t>2</w:t>
      </w:r>
      <w:r w:rsidR="00290CF4" w:rsidRPr="00AC1A16">
        <w:t xml:space="preserve"> of Supporting Information</w:t>
      </w:r>
      <w:r w:rsidR="00873BB9" w:rsidRPr="00AC1A16">
        <w:t>. Thus, the amount of coating added to the wood surface was 62.5 g∙m</w:t>
      </w:r>
      <w:r w:rsidR="00873BB9" w:rsidRPr="00AC1A16">
        <w:rPr>
          <w:vertAlign w:val="superscript"/>
        </w:rPr>
        <w:t>-2</w:t>
      </w:r>
      <w:r w:rsidR="00415896" w:rsidRPr="00AC1A16">
        <w:t xml:space="preserve"> and the deposition of resins was carried out with a brush.</w:t>
      </w:r>
      <w:r w:rsidR="00382C8F" w:rsidRPr="00AC1A16">
        <w:t xml:space="preserve"> The</w:t>
      </w:r>
      <w:r w:rsidR="005F2917" w:rsidRPr="00AC1A16">
        <w:t xml:space="preserve"> coating curing and drying was </w:t>
      </w:r>
      <w:r w:rsidR="005F2917" w:rsidRPr="00AC1A16">
        <w:lastRenderedPageBreak/>
        <w:t>performed during 12-15h in an oven at 60ºC.</w:t>
      </w:r>
      <w:r w:rsidR="00C349BF" w:rsidRPr="00AC1A16">
        <w:t xml:space="preserve"> Further discussion concerning these set parameters is included in Appendix A</w:t>
      </w:r>
      <w:r w:rsidR="00573948" w:rsidRPr="00AC1A16">
        <w:t>2</w:t>
      </w:r>
      <w:r w:rsidR="00C349BF" w:rsidRPr="00AC1A16">
        <w:t xml:space="preserve"> of Supporting Information.</w:t>
      </w:r>
    </w:p>
    <w:p w14:paraId="50C396DF" w14:textId="69DFB93F" w:rsidR="00E7058E" w:rsidRPr="00AC1A16" w:rsidRDefault="006B34DB" w:rsidP="007A2267">
      <w:pPr>
        <w:pStyle w:val="TAMainText"/>
      </w:pPr>
      <w:r w:rsidRPr="00AC1A16">
        <w:t>Characterization of the coatings</w:t>
      </w:r>
    </w:p>
    <w:p w14:paraId="3310B888" w14:textId="409C6333" w:rsidR="005F2917" w:rsidRPr="00AC1A16" w:rsidRDefault="009B644B" w:rsidP="007A2267">
      <w:pPr>
        <w:pStyle w:val="TAMainText"/>
      </w:pPr>
      <w:r w:rsidRPr="00AC1A16">
        <w:t>The characterization of the coatings was carried out concerning its chemical structure (FTIR analysis) and thermal resistance (TGA analysis). Prior to those analyses, a liquid sample of the different formulations of the resins (Reference, R</w:t>
      </w:r>
      <w:r w:rsidRPr="00AC1A16">
        <w:rPr>
          <w:vertAlign w:val="subscript"/>
        </w:rPr>
        <w:t>A</w:t>
      </w:r>
      <w:r w:rsidRPr="00AC1A16">
        <w:t xml:space="preserve"> and R</w:t>
      </w:r>
      <w:r w:rsidRPr="00AC1A16">
        <w:rPr>
          <w:vertAlign w:val="subscript"/>
        </w:rPr>
        <w:t>B</w:t>
      </w:r>
      <w:r w:rsidRPr="00AC1A16">
        <w:t>) was cured at the defined conditions (60 ºC and 15 h) over an aluminum plate. Then the cured resin samples were crushed in a mortar and the powder was ready to use for the characterization analysis.</w:t>
      </w:r>
    </w:p>
    <w:p w14:paraId="7D6A02F6" w14:textId="16F337CB" w:rsidR="009F5FBF" w:rsidRPr="00AC1A16" w:rsidRDefault="009F5FBF" w:rsidP="007A2267">
      <w:pPr>
        <w:pStyle w:val="TAMainText"/>
      </w:pPr>
      <w:r w:rsidRPr="00AC1A16">
        <w:t>Fourier transformed infrared spectroscopy analysis (FTIR)</w:t>
      </w:r>
    </w:p>
    <w:p w14:paraId="67008BBB" w14:textId="77777777" w:rsidR="009B644B" w:rsidRPr="00AC1A16" w:rsidRDefault="009F5FBF" w:rsidP="007A2267">
      <w:pPr>
        <w:pStyle w:val="TAMainText"/>
      </w:pPr>
      <w:r w:rsidRPr="00AC1A16">
        <w:t>This test</w:t>
      </w:r>
      <w:r w:rsidR="009B644B" w:rsidRPr="00AC1A16">
        <w:t xml:space="preserve"> was performed on a Spectrum Two FTIR Spectrometer PerkinElmer (USA) with a L1050231 Universal Attenuated Total Reflectance accessory (ATR). First, a background spectrum was collected to subtract it from the spectrum of the sample. Then, a few mg of the sample were analyzed, with a number of 64 scans accumulated in transmission mode and a resolution of 4 cm</w:t>
      </w:r>
      <w:r w:rsidR="009B644B" w:rsidRPr="00AC1A16">
        <w:rPr>
          <w:vertAlign w:val="superscript"/>
        </w:rPr>
        <w:t>−1</w:t>
      </w:r>
      <w:r w:rsidR="009B644B" w:rsidRPr="00AC1A16">
        <w:t>. The spectrum was obtained in the range of 4000−400 cm</w:t>
      </w:r>
      <w:r w:rsidR="009B644B" w:rsidRPr="00AC1A16">
        <w:rPr>
          <w:vertAlign w:val="superscript"/>
        </w:rPr>
        <w:t>−1</w:t>
      </w:r>
      <w:r w:rsidR="009B644B" w:rsidRPr="00AC1A16">
        <w:t>.</w:t>
      </w:r>
    </w:p>
    <w:p w14:paraId="1AFD6239" w14:textId="7FF5F6D7" w:rsidR="009F5FBF" w:rsidRPr="00AC1A16" w:rsidRDefault="009F5FBF" w:rsidP="007A2267">
      <w:pPr>
        <w:pStyle w:val="TAMainText"/>
      </w:pPr>
      <w:r w:rsidRPr="00AC1A16">
        <w:t>Thermogravimetric analysis (TGA)</w:t>
      </w:r>
    </w:p>
    <w:p w14:paraId="05ADDDA8" w14:textId="5B15AE57" w:rsidR="009B644B" w:rsidRPr="00AC1A16" w:rsidRDefault="009F5FBF" w:rsidP="007A2267">
      <w:pPr>
        <w:pStyle w:val="TAMainText"/>
      </w:pPr>
      <w:r w:rsidRPr="00AC1A16">
        <w:t>This analysis</w:t>
      </w:r>
      <w:r w:rsidR="009B644B" w:rsidRPr="00AC1A16">
        <w:t xml:space="preserve"> was executed in </w:t>
      </w:r>
      <w:r w:rsidRPr="00AC1A16">
        <w:t>a TA instrument thermogravimetric analysis (TGA) Q5000 IR equipment, under dynamic nitrogen flow with a flow rate of 40 mL min</w:t>
      </w:r>
      <w:r w:rsidRPr="00AC1A16">
        <w:rPr>
          <w:vertAlign w:val="superscript"/>
        </w:rPr>
        <w:t>−1</w:t>
      </w:r>
      <w:r w:rsidRPr="00AC1A16">
        <w:t>. Samples in the range of 5−10 mg were placed in a platinum crucible and heated in a temperature range of 30−800 °C at a constant heating rate of 10 °C min</w:t>
      </w:r>
      <w:r w:rsidRPr="00AC1A16">
        <w:rPr>
          <w:vertAlign w:val="superscript"/>
        </w:rPr>
        <w:t>−1</w:t>
      </w:r>
      <w:r w:rsidRPr="00AC1A16">
        <w:t xml:space="preserve"> under a N</w:t>
      </w:r>
      <w:r w:rsidRPr="00AC1A16">
        <w:rPr>
          <w:vertAlign w:val="subscript"/>
        </w:rPr>
        <w:t>2</w:t>
      </w:r>
      <w:r w:rsidRPr="00AC1A16">
        <w:t xml:space="preserve"> (airflow 60mL∙min-1). For the quantitative calculations, the response factors between the weight gain (thermogravimetric) and the mass loss rate (differential thermogravimetric) were determined.</w:t>
      </w:r>
    </w:p>
    <w:p w14:paraId="7A1D2B4D" w14:textId="46564BB1" w:rsidR="00387BBD" w:rsidRPr="00AC1A16" w:rsidRDefault="006B34DB" w:rsidP="007A2267">
      <w:pPr>
        <w:pStyle w:val="TAMainText"/>
      </w:pPr>
      <w:r w:rsidRPr="00AC1A16">
        <w:t>Evaluation of the fireproofing properties of the coating</w:t>
      </w:r>
    </w:p>
    <w:p w14:paraId="4C132ECB" w14:textId="699F3B42" w:rsidR="009F5FBF" w:rsidRPr="00AC1A16" w:rsidRDefault="009F5FBF" w:rsidP="007A2267">
      <w:pPr>
        <w:pStyle w:val="TAMainText"/>
      </w:pPr>
      <w:r w:rsidRPr="00AC1A16">
        <w:lastRenderedPageBreak/>
        <w:t>Different experiments, which were carried out directly on the coated-wood samples, were implemented to assess the performance of the coatings against fire exposure and derived thermal properties. Hence, the wood protection achieved could be elucidated.</w:t>
      </w:r>
      <w:r w:rsidR="002D5AAC" w:rsidRPr="00AC1A16">
        <w:t xml:space="preserve"> Each of the samples (control and coated wood) was performed the following experiments in triplicate.</w:t>
      </w:r>
    </w:p>
    <w:p w14:paraId="16F70B79" w14:textId="355E12A3" w:rsidR="009F5FBF" w:rsidRPr="00AC1A16" w:rsidRDefault="009F5FBF" w:rsidP="007A2267">
      <w:pPr>
        <w:pStyle w:val="TAMainText"/>
      </w:pPr>
      <w:r w:rsidRPr="00AC1A16">
        <w:t xml:space="preserve"> </w:t>
      </w:r>
      <w:r w:rsidR="005F2917" w:rsidRPr="00AC1A16">
        <w:t>Analysis of the heat release during combustion</w:t>
      </w:r>
    </w:p>
    <w:p w14:paraId="1E7FDFC0" w14:textId="1942B2E2" w:rsidR="00E62B09" w:rsidRPr="00AC1A16" w:rsidRDefault="00E62B09" w:rsidP="007A2267">
      <w:pPr>
        <w:pStyle w:val="TAMainText"/>
      </w:pPr>
      <w:r w:rsidRPr="00AC1A16">
        <w:t>This test was carried out by means of a Parr 6200 Calorimeter</w:t>
      </w:r>
      <w:r w:rsidR="005F2917" w:rsidRPr="00AC1A16">
        <w:t xml:space="preserve"> equipped with a Parr 1108 oxygen bomb. The samples employed were prepared with a size of 20x20x3 mm. The procedure followed is described in Appendix B1</w:t>
      </w:r>
      <w:r w:rsidR="00290CF4" w:rsidRPr="00AC1A16">
        <w:t xml:space="preserve"> of Supporting Information</w:t>
      </w:r>
      <w:r w:rsidR="005F2917" w:rsidRPr="00AC1A16">
        <w:t>.</w:t>
      </w:r>
    </w:p>
    <w:p w14:paraId="2AB78478" w14:textId="48C29253" w:rsidR="006B34DB" w:rsidRPr="00AC1A16" w:rsidRDefault="00E62B09" w:rsidP="007A2267">
      <w:pPr>
        <w:pStyle w:val="TAMainText"/>
      </w:pPr>
      <w:r w:rsidRPr="00AC1A16">
        <w:t>Flammability analysis of the coatings</w:t>
      </w:r>
    </w:p>
    <w:p w14:paraId="5D61C084" w14:textId="46AF4FCC" w:rsidR="00E62B09" w:rsidRPr="00AC1A16" w:rsidRDefault="00E62B09" w:rsidP="007A2267">
      <w:pPr>
        <w:pStyle w:val="TAMainText"/>
      </w:pPr>
      <w:r w:rsidRPr="00AC1A16">
        <w:t xml:space="preserve">This test was performed according to the procedure </w:t>
      </w:r>
      <w:r w:rsidR="00A87D36" w:rsidRPr="00AC1A16">
        <w:rPr>
          <w:i/>
        </w:rPr>
        <w:t>UNE-EN 60695-11-10 (2014) Fire hazard testing - Part 11-10: Test flames - 50 W horizontal and vertical flame test methods</w:t>
      </w:r>
    </w:p>
    <w:p w14:paraId="40789AA4" w14:textId="6B846963" w:rsidR="00E7058E" w:rsidRPr="00AC1A16" w:rsidRDefault="00E62B09" w:rsidP="007A2267">
      <w:pPr>
        <w:pStyle w:val="TAMainText"/>
      </w:pPr>
      <w:r w:rsidRPr="00AC1A16">
        <w:t>Analysis of the heat transfer properties of the coatings</w:t>
      </w:r>
    </w:p>
    <w:p w14:paraId="6DD14E68" w14:textId="77EBDADD" w:rsidR="00E7058E" w:rsidRPr="00AC1A16" w:rsidRDefault="00E62B09" w:rsidP="007A2267">
      <w:pPr>
        <w:pStyle w:val="TAMainText"/>
      </w:pPr>
      <w:r w:rsidRPr="00AC1A16">
        <w:t xml:space="preserve">This test was performed with conductimeter instrument “Hot Disk TPS 1500” and a probe Kapton Ref. 5456 of 3.189 mm radius. </w:t>
      </w:r>
      <w:r w:rsidR="005F2917" w:rsidRPr="00AC1A16">
        <w:t>The samples employed were prepared with a size of 30x20x10 mm. The procedure followed is described in Appendix B2</w:t>
      </w:r>
      <w:r w:rsidR="00290CF4" w:rsidRPr="00AC1A16">
        <w:t xml:space="preserve"> of Supporting Information</w:t>
      </w:r>
      <w:r w:rsidR="005F2917" w:rsidRPr="00AC1A16">
        <w:t>.</w:t>
      </w:r>
    </w:p>
    <w:p w14:paraId="77C897F7" w14:textId="182D80DB" w:rsidR="004C0258" w:rsidRPr="00AC1A16" w:rsidRDefault="004C0258" w:rsidP="007A2267">
      <w:pPr>
        <w:pStyle w:val="TAMainText"/>
        <w:rPr>
          <w:bCs/>
        </w:rPr>
      </w:pPr>
      <w:r w:rsidRPr="00AC1A16">
        <w:rPr>
          <w:bCs/>
        </w:rPr>
        <w:t>Data Analysis</w:t>
      </w:r>
    </w:p>
    <w:p w14:paraId="666BE07D" w14:textId="7180267A" w:rsidR="004C0258" w:rsidRPr="00AC1A16" w:rsidRDefault="004C0258" w:rsidP="007A2267">
      <w:pPr>
        <w:pStyle w:val="TAMainText"/>
      </w:pPr>
      <w:r w:rsidRPr="00AC1A16">
        <w:t>The collected data were statistically analyzed according to the normality and homogeneity values of variances by a multiple comparison procedure analysis of variance (ANOVA). The Bonferroni Significant Difference (BSD) and the Tukey test were applied after rejecting the null hypothesis. The software used for this statistical analysis was Origin 2017.</w:t>
      </w:r>
    </w:p>
    <w:p w14:paraId="11B9DAE7" w14:textId="77777777" w:rsidR="00A90DB1" w:rsidRPr="00AC1A16" w:rsidRDefault="00A90DB1" w:rsidP="00112E14">
      <w:pPr>
        <w:rPr>
          <w:rFonts w:ascii="Arial" w:hAnsi="Arial" w:cs="Arial"/>
        </w:rPr>
      </w:pPr>
    </w:p>
    <w:p w14:paraId="220F91C8" w14:textId="77777777" w:rsidR="00BD03B4" w:rsidRPr="00AC1A16" w:rsidRDefault="00BD03B4" w:rsidP="00112E14">
      <w:pPr>
        <w:rPr>
          <w:rFonts w:ascii="Arial" w:hAnsi="Arial" w:cs="Arial"/>
        </w:rPr>
        <w:sectPr w:rsidR="00BD03B4" w:rsidRPr="00AC1A16" w:rsidSect="00603A01">
          <w:pgSz w:w="11906" w:h="16838"/>
          <w:pgMar w:top="1417" w:right="1701" w:bottom="1417" w:left="1701" w:header="708" w:footer="708" w:gutter="0"/>
          <w:lnNumType w:countBy="1" w:restart="continuous"/>
          <w:cols w:space="708"/>
          <w:docGrid w:linePitch="360"/>
        </w:sectPr>
      </w:pPr>
    </w:p>
    <w:p w14:paraId="4A587288" w14:textId="50B70E9F" w:rsidR="00387BBD" w:rsidRPr="00AC1A16" w:rsidRDefault="00E7058E" w:rsidP="007A2267">
      <w:pPr>
        <w:pStyle w:val="TAMainText"/>
      </w:pPr>
      <w:r w:rsidRPr="00AC1A16">
        <w:lastRenderedPageBreak/>
        <w:t>RESULTS AND DISCUSSION</w:t>
      </w:r>
    </w:p>
    <w:p w14:paraId="3E2EB32F" w14:textId="19B8C0AE" w:rsidR="00E7058E" w:rsidRPr="00AC1A16" w:rsidRDefault="00E7058E" w:rsidP="007A2267">
      <w:pPr>
        <w:pStyle w:val="TAMainText"/>
      </w:pPr>
      <w:r w:rsidRPr="00AC1A16">
        <w:t>Chemical characterization of the resins</w:t>
      </w:r>
    </w:p>
    <w:p w14:paraId="209CDB82" w14:textId="77777777" w:rsidR="00A90DB1" w:rsidRPr="00AC1A16" w:rsidRDefault="006055CE" w:rsidP="007A2267">
      <w:pPr>
        <w:pStyle w:val="TAMainText"/>
      </w:pPr>
      <w:r w:rsidRPr="00AC1A16">
        <w:t xml:space="preserve">The resins were first characterized for the typical physical-chemical parameters and the results are shown in table 2. </w:t>
      </w:r>
    </w:p>
    <w:p w14:paraId="3C9DBE01" w14:textId="1D07E851" w:rsidR="006055CE" w:rsidRDefault="006055CE" w:rsidP="007A2267">
      <w:pPr>
        <w:pStyle w:val="VDTableTitle"/>
      </w:pPr>
      <w:r w:rsidRPr="00AC1A16">
        <w:rPr>
          <w:b/>
        </w:rPr>
        <w:t>Table 2.</w:t>
      </w:r>
      <w:r w:rsidRPr="00AC1A16">
        <w:t xml:space="preserve"> Physical-chemical parameters </w:t>
      </w:r>
      <w:r w:rsidR="00890BF2">
        <w:t>of</w:t>
      </w:r>
      <w:r w:rsidRPr="00AC1A16">
        <w:t xml:space="preserve"> the different </w:t>
      </w:r>
      <w:r w:rsidR="004E7069" w:rsidRPr="00AC1A16">
        <w:t>biobased</w:t>
      </w:r>
      <w:r w:rsidRPr="00AC1A16">
        <w:t xml:space="preserve"> phenolic resins</w:t>
      </w:r>
      <w:r w:rsidR="00890BF2">
        <w:t xml:space="preserve"> and the commercial formulations</w:t>
      </w:r>
      <w:r w:rsidRPr="00AC1A16">
        <w:t>.</w:t>
      </w:r>
    </w:p>
    <w:tbl>
      <w:tblPr>
        <w:tblStyle w:val="Sombreadoclaro1"/>
        <w:tblW w:w="9694" w:type="dxa"/>
        <w:tblInd w:w="-709" w:type="dxa"/>
        <w:tblLook w:val="04A0" w:firstRow="1" w:lastRow="0" w:firstColumn="1" w:lastColumn="0" w:noHBand="0" w:noVBand="1"/>
      </w:tblPr>
      <w:tblGrid>
        <w:gridCol w:w="1895"/>
        <w:gridCol w:w="1564"/>
        <w:gridCol w:w="1521"/>
        <w:gridCol w:w="1653"/>
        <w:gridCol w:w="1529"/>
        <w:gridCol w:w="1532"/>
      </w:tblGrid>
      <w:tr w:rsidR="00890BF2" w:rsidRPr="00AC1A16" w14:paraId="27D56D5A" w14:textId="77777777" w:rsidTr="0022379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Merge w:val="restart"/>
            <w:shd w:val="clear" w:color="auto" w:fill="auto"/>
            <w:vAlign w:val="center"/>
          </w:tcPr>
          <w:p w14:paraId="175A5B97" w14:textId="097BA633" w:rsidR="00890BF2" w:rsidRPr="00A47F0D" w:rsidRDefault="00890BF2" w:rsidP="0022379E">
            <w:pPr>
              <w:pStyle w:val="TCTableBody"/>
              <w:jc w:val="left"/>
              <w:rPr>
                <w:b w:val="0"/>
                <w:color w:val="auto"/>
                <w:szCs w:val="24"/>
              </w:rPr>
            </w:pPr>
            <w:r>
              <w:rPr>
                <w:b w:val="0"/>
                <w:color w:val="auto"/>
                <w:szCs w:val="24"/>
              </w:rPr>
              <w:t>P</w:t>
            </w:r>
            <w:r w:rsidRPr="00A47F0D">
              <w:rPr>
                <w:b w:val="0"/>
                <w:color w:val="auto"/>
                <w:szCs w:val="24"/>
              </w:rPr>
              <w:t>arameters</w:t>
            </w:r>
          </w:p>
        </w:tc>
        <w:tc>
          <w:tcPr>
            <w:tcW w:w="4647" w:type="dxa"/>
            <w:gridSpan w:val="3"/>
            <w:shd w:val="clear" w:color="auto" w:fill="auto"/>
            <w:vAlign w:val="center"/>
          </w:tcPr>
          <w:p w14:paraId="00786642" w14:textId="77777777" w:rsidR="00890BF2" w:rsidRPr="00A47F0D" w:rsidRDefault="00890BF2" w:rsidP="0022379E">
            <w:pPr>
              <w:pStyle w:val="TCTableBody"/>
              <w:jc w:val="center"/>
              <w:cnfStyle w:val="100000000000" w:firstRow="1" w:lastRow="0" w:firstColumn="0" w:lastColumn="0" w:oddVBand="0" w:evenVBand="0" w:oddHBand="0" w:evenHBand="0" w:firstRowFirstColumn="0" w:firstRowLastColumn="0" w:lastRowFirstColumn="0" w:lastRowLastColumn="0"/>
              <w:rPr>
                <w:b w:val="0"/>
                <w:bCs w:val="0"/>
                <w:color w:val="auto"/>
                <w:szCs w:val="24"/>
              </w:rPr>
            </w:pPr>
            <w:r w:rsidRPr="00A47F0D">
              <w:rPr>
                <w:b w:val="0"/>
                <w:bCs w:val="0"/>
                <w:color w:val="auto"/>
                <w:szCs w:val="24"/>
              </w:rPr>
              <w:t>Biobased resin formulations</w:t>
            </w:r>
          </w:p>
        </w:tc>
        <w:tc>
          <w:tcPr>
            <w:tcW w:w="3062" w:type="dxa"/>
            <w:gridSpan w:val="2"/>
            <w:shd w:val="clear" w:color="auto" w:fill="auto"/>
          </w:tcPr>
          <w:p w14:paraId="25F7A082" w14:textId="77777777" w:rsidR="00890BF2" w:rsidRPr="00A47F0D" w:rsidRDefault="00890BF2" w:rsidP="0022379E">
            <w:pPr>
              <w:pStyle w:val="TCTableBody"/>
              <w:jc w:val="center"/>
              <w:cnfStyle w:val="100000000000" w:firstRow="1" w:lastRow="0" w:firstColumn="0" w:lastColumn="0" w:oddVBand="0" w:evenVBand="0" w:oddHBand="0" w:evenHBand="0" w:firstRowFirstColumn="0" w:firstRowLastColumn="0" w:lastRowFirstColumn="0" w:lastRowLastColumn="0"/>
              <w:rPr>
                <w:b w:val="0"/>
                <w:bCs w:val="0"/>
                <w:color w:val="auto"/>
                <w:szCs w:val="24"/>
              </w:rPr>
            </w:pPr>
            <w:r w:rsidRPr="00A47F0D">
              <w:rPr>
                <w:b w:val="0"/>
                <w:bCs w:val="0"/>
                <w:color w:val="auto"/>
                <w:szCs w:val="24"/>
              </w:rPr>
              <w:t>Commercial formulations</w:t>
            </w:r>
          </w:p>
        </w:tc>
      </w:tr>
      <w:tr w:rsidR="00890BF2" w:rsidRPr="00AC1A16" w14:paraId="43ABA9A3" w14:textId="77777777" w:rsidTr="0022379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5" w:type="dxa"/>
            <w:vMerge/>
            <w:shd w:val="clear" w:color="auto" w:fill="auto"/>
          </w:tcPr>
          <w:p w14:paraId="41D0D7AB" w14:textId="77777777" w:rsidR="00890BF2" w:rsidRPr="00A47F0D" w:rsidRDefault="00890BF2" w:rsidP="0022379E">
            <w:pPr>
              <w:pStyle w:val="TCTableBody"/>
              <w:rPr>
                <w:b w:val="0"/>
                <w:color w:val="auto"/>
                <w:szCs w:val="24"/>
              </w:rPr>
            </w:pPr>
          </w:p>
        </w:tc>
        <w:tc>
          <w:tcPr>
            <w:tcW w:w="1419" w:type="dxa"/>
            <w:shd w:val="clear" w:color="auto" w:fill="auto"/>
          </w:tcPr>
          <w:p w14:paraId="03EEA5A3" w14:textId="77777777" w:rsidR="00890BF2" w:rsidRPr="00A47F0D" w:rsidRDefault="00890BF2" w:rsidP="0022379E">
            <w:pPr>
              <w:pStyle w:val="TCTableBody"/>
              <w:cnfStyle w:val="000000100000" w:firstRow="0" w:lastRow="0" w:firstColumn="0" w:lastColumn="0" w:oddVBand="0" w:evenVBand="0" w:oddHBand="1" w:evenHBand="0" w:firstRowFirstColumn="0" w:firstRowLastColumn="0" w:lastRowFirstColumn="0" w:lastRowLastColumn="0"/>
              <w:rPr>
                <w:b/>
                <w:bCs/>
                <w:color w:val="auto"/>
                <w:szCs w:val="24"/>
              </w:rPr>
            </w:pPr>
            <w:r w:rsidRPr="00A47F0D">
              <w:rPr>
                <w:b/>
                <w:bCs/>
                <w:color w:val="auto"/>
                <w:szCs w:val="24"/>
              </w:rPr>
              <w:t>R</w:t>
            </w:r>
            <w:r w:rsidRPr="00A47F0D">
              <w:rPr>
                <w:b/>
                <w:bCs/>
                <w:color w:val="auto"/>
                <w:szCs w:val="24"/>
                <w:vertAlign w:val="subscript"/>
              </w:rPr>
              <w:t>REFERENCE</w:t>
            </w:r>
          </w:p>
        </w:tc>
        <w:tc>
          <w:tcPr>
            <w:tcW w:w="1538" w:type="dxa"/>
            <w:shd w:val="clear" w:color="auto" w:fill="auto"/>
          </w:tcPr>
          <w:p w14:paraId="75550639" w14:textId="77777777" w:rsidR="00890BF2" w:rsidRPr="00A47F0D" w:rsidRDefault="00890BF2" w:rsidP="0022379E">
            <w:pPr>
              <w:pStyle w:val="TCTableBody"/>
              <w:cnfStyle w:val="000000100000" w:firstRow="0" w:lastRow="0" w:firstColumn="0" w:lastColumn="0" w:oddVBand="0" w:evenVBand="0" w:oddHBand="1" w:evenHBand="0" w:firstRowFirstColumn="0" w:firstRowLastColumn="0" w:lastRowFirstColumn="0" w:lastRowLastColumn="0"/>
              <w:rPr>
                <w:b/>
                <w:bCs/>
                <w:color w:val="auto"/>
                <w:szCs w:val="24"/>
              </w:rPr>
            </w:pPr>
            <w:r w:rsidRPr="00A47F0D">
              <w:rPr>
                <w:b/>
                <w:bCs/>
                <w:color w:val="auto"/>
                <w:szCs w:val="24"/>
              </w:rPr>
              <w:t>R</w:t>
            </w:r>
            <w:r w:rsidRPr="00A47F0D">
              <w:rPr>
                <w:b/>
                <w:bCs/>
                <w:color w:val="auto"/>
                <w:szCs w:val="24"/>
                <w:vertAlign w:val="subscript"/>
              </w:rPr>
              <w:t>A</w:t>
            </w:r>
          </w:p>
        </w:tc>
        <w:tc>
          <w:tcPr>
            <w:tcW w:w="1690" w:type="dxa"/>
            <w:shd w:val="clear" w:color="auto" w:fill="auto"/>
          </w:tcPr>
          <w:p w14:paraId="59DCB8C2" w14:textId="77777777" w:rsidR="00890BF2" w:rsidRPr="00A47F0D" w:rsidRDefault="00890BF2" w:rsidP="0022379E">
            <w:pPr>
              <w:pStyle w:val="TCTableBody"/>
              <w:cnfStyle w:val="000000100000" w:firstRow="0" w:lastRow="0" w:firstColumn="0" w:lastColumn="0" w:oddVBand="0" w:evenVBand="0" w:oddHBand="1" w:evenHBand="0" w:firstRowFirstColumn="0" w:firstRowLastColumn="0" w:lastRowFirstColumn="0" w:lastRowLastColumn="0"/>
              <w:rPr>
                <w:b/>
                <w:bCs/>
                <w:color w:val="auto"/>
                <w:szCs w:val="24"/>
              </w:rPr>
            </w:pPr>
            <w:r w:rsidRPr="00A47F0D">
              <w:rPr>
                <w:b/>
                <w:bCs/>
                <w:color w:val="auto"/>
                <w:szCs w:val="24"/>
              </w:rPr>
              <w:t>R</w:t>
            </w:r>
            <w:r w:rsidRPr="00A47F0D">
              <w:rPr>
                <w:b/>
                <w:bCs/>
                <w:color w:val="auto"/>
                <w:szCs w:val="24"/>
                <w:vertAlign w:val="subscript"/>
              </w:rPr>
              <w:t>B</w:t>
            </w:r>
          </w:p>
        </w:tc>
        <w:tc>
          <w:tcPr>
            <w:tcW w:w="1529" w:type="dxa"/>
            <w:shd w:val="clear" w:color="auto" w:fill="auto"/>
            <w:vAlign w:val="center"/>
          </w:tcPr>
          <w:p w14:paraId="03A8D4A7" w14:textId="77777777" w:rsidR="00890BF2" w:rsidRPr="00A47F0D" w:rsidRDefault="00890BF2" w:rsidP="0022379E">
            <w:pPr>
              <w:pStyle w:val="TCTableBody"/>
              <w:jc w:val="center"/>
              <w:cnfStyle w:val="000000100000" w:firstRow="0" w:lastRow="0" w:firstColumn="0" w:lastColumn="0" w:oddVBand="0" w:evenVBand="0" w:oddHBand="1" w:evenHBand="0" w:firstRowFirstColumn="0" w:firstRowLastColumn="0" w:lastRowFirstColumn="0" w:lastRowLastColumn="0"/>
              <w:rPr>
                <w:b/>
                <w:bCs/>
                <w:color w:val="auto"/>
                <w:szCs w:val="24"/>
                <w:vertAlign w:val="superscript"/>
              </w:rPr>
            </w:pPr>
            <w:r w:rsidRPr="00A47F0D">
              <w:rPr>
                <w:b/>
                <w:bCs/>
                <w:color w:val="auto"/>
                <w:szCs w:val="24"/>
              </w:rPr>
              <w:t>B77</w:t>
            </w:r>
            <w:r w:rsidRPr="00A47F0D">
              <w:rPr>
                <w:b/>
                <w:bCs/>
                <w:color w:val="auto"/>
                <w:szCs w:val="24"/>
                <w:vertAlign w:val="superscript"/>
              </w:rPr>
              <w:t>a</w:t>
            </w:r>
          </w:p>
        </w:tc>
        <w:tc>
          <w:tcPr>
            <w:tcW w:w="1533" w:type="dxa"/>
            <w:shd w:val="clear" w:color="auto" w:fill="auto"/>
            <w:vAlign w:val="center"/>
          </w:tcPr>
          <w:p w14:paraId="7EF2CCE7" w14:textId="77777777" w:rsidR="00890BF2" w:rsidRPr="00A47F0D" w:rsidRDefault="00890BF2" w:rsidP="0022379E">
            <w:pPr>
              <w:pStyle w:val="TCTableBody"/>
              <w:jc w:val="center"/>
              <w:cnfStyle w:val="000000100000" w:firstRow="0" w:lastRow="0" w:firstColumn="0" w:lastColumn="0" w:oddVBand="0" w:evenVBand="0" w:oddHBand="1" w:evenHBand="0" w:firstRowFirstColumn="0" w:firstRowLastColumn="0" w:lastRowFirstColumn="0" w:lastRowLastColumn="0"/>
              <w:rPr>
                <w:b/>
                <w:bCs/>
                <w:color w:val="auto"/>
                <w:szCs w:val="24"/>
                <w:vertAlign w:val="superscript"/>
              </w:rPr>
            </w:pPr>
            <w:r w:rsidRPr="00A47F0D">
              <w:rPr>
                <w:b/>
                <w:bCs/>
                <w:color w:val="auto"/>
                <w:szCs w:val="24"/>
              </w:rPr>
              <w:t>Quidedur</w:t>
            </w:r>
            <w:r w:rsidRPr="00A47F0D">
              <w:rPr>
                <w:b/>
                <w:bCs/>
                <w:color w:val="auto"/>
                <w:szCs w:val="24"/>
                <w:vertAlign w:val="superscript"/>
              </w:rPr>
              <w:t>b</w:t>
            </w:r>
          </w:p>
        </w:tc>
      </w:tr>
      <w:tr w:rsidR="00890BF2" w:rsidRPr="00AC1A16" w14:paraId="68DE7839" w14:textId="77777777" w:rsidTr="0022379E">
        <w:trPr>
          <w:trHeight w:val="293"/>
        </w:trPr>
        <w:tc>
          <w:tcPr>
            <w:cnfStyle w:val="001000000000" w:firstRow="0" w:lastRow="0" w:firstColumn="1" w:lastColumn="0" w:oddVBand="0" w:evenVBand="0" w:oddHBand="0" w:evenHBand="0" w:firstRowFirstColumn="0" w:firstRowLastColumn="0" w:lastRowFirstColumn="0" w:lastRowLastColumn="0"/>
            <w:tcW w:w="1985" w:type="dxa"/>
            <w:shd w:val="clear" w:color="auto" w:fill="auto"/>
          </w:tcPr>
          <w:p w14:paraId="2B97A576" w14:textId="77777777" w:rsidR="00890BF2" w:rsidRPr="00A47F0D" w:rsidRDefault="00890BF2" w:rsidP="0022379E">
            <w:pPr>
              <w:pStyle w:val="TCTableBody"/>
              <w:rPr>
                <w:b w:val="0"/>
                <w:color w:val="auto"/>
              </w:rPr>
            </w:pPr>
            <w:r w:rsidRPr="00A47F0D">
              <w:rPr>
                <w:b w:val="0"/>
                <w:color w:val="auto"/>
              </w:rPr>
              <w:t>Density (g∙cm</w:t>
            </w:r>
            <w:r w:rsidRPr="00A47F0D">
              <w:rPr>
                <w:b w:val="0"/>
                <w:color w:val="auto"/>
                <w:vertAlign w:val="superscript"/>
              </w:rPr>
              <w:t>-3</w:t>
            </w:r>
            <w:r w:rsidRPr="00A47F0D">
              <w:rPr>
                <w:b w:val="0"/>
                <w:color w:val="auto"/>
              </w:rPr>
              <w:t>)</w:t>
            </w:r>
          </w:p>
        </w:tc>
        <w:tc>
          <w:tcPr>
            <w:tcW w:w="1419" w:type="dxa"/>
            <w:shd w:val="clear" w:color="auto" w:fill="auto"/>
          </w:tcPr>
          <w:p w14:paraId="73B37223" w14:textId="77777777" w:rsidR="00890BF2" w:rsidRPr="00AC1A16" w:rsidRDefault="00890BF2" w:rsidP="0022379E">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1.13±0.02</w:t>
            </w:r>
            <w:r w:rsidRPr="002103DD">
              <w:rPr>
                <w:color w:val="auto"/>
                <w:sz w:val="20"/>
              </w:rPr>
              <w:t>*</w:t>
            </w:r>
          </w:p>
        </w:tc>
        <w:tc>
          <w:tcPr>
            <w:tcW w:w="1538" w:type="dxa"/>
            <w:shd w:val="clear" w:color="auto" w:fill="auto"/>
          </w:tcPr>
          <w:p w14:paraId="462E937D" w14:textId="77777777" w:rsidR="00890BF2" w:rsidRPr="00AC1A16" w:rsidRDefault="00890BF2" w:rsidP="0022379E">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1.14±0.00</w:t>
            </w:r>
            <w:r w:rsidRPr="002103DD">
              <w:rPr>
                <w:color w:val="auto"/>
                <w:sz w:val="20"/>
              </w:rPr>
              <w:t>*</w:t>
            </w:r>
          </w:p>
        </w:tc>
        <w:tc>
          <w:tcPr>
            <w:tcW w:w="1690" w:type="dxa"/>
            <w:shd w:val="clear" w:color="auto" w:fill="auto"/>
          </w:tcPr>
          <w:p w14:paraId="03DCF61C" w14:textId="77777777" w:rsidR="00890BF2" w:rsidRPr="00AC1A16" w:rsidRDefault="00890BF2" w:rsidP="0022379E">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1.14±0.02</w:t>
            </w:r>
            <w:r w:rsidRPr="002103DD">
              <w:rPr>
                <w:color w:val="auto"/>
                <w:sz w:val="20"/>
              </w:rPr>
              <w:t>*</w:t>
            </w:r>
          </w:p>
        </w:tc>
        <w:tc>
          <w:tcPr>
            <w:tcW w:w="1529" w:type="dxa"/>
            <w:shd w:val="clear" w:color="auto" w:fill="auto"/>
            <w:vAlign w:val="center"/>
          </w:tcPr>
          <w:p w14:paraId="4EDA3F87" w14:textId="77777777" w:rsidR="00890BF2" w:rsidRPr="00AC1A16" w:rsidRDefault="00890BF2" w:rsidP="0022379E">
            <w:pPr>
              <w:pStyle w:val="TCTableBody"/>
              <w:jc w:val="center"/>
              <w:cnfStyle w:val="000000000000" w:firstRow="0" w:lastRow="0" w:firstColumn="0" w:lastColumn="0" w:oddVBand="0" w:evenVBand="0" w:oddHBand="0" w:evenHBand="0" w:firstRowFirstColumn="0" w:firstRowLastColumn="0" w:lastRowFirstColumn="0" w:lastRowLastColumn="0"/>
              <w:rPr>
                <w:color w:val="auto"/>
              </w:rPr>
            </w:pPr>
            <w:r>
              <w:rPr>
                <w:color w:val="auto"/>
              </w:rPr>
              <w:t>1.07</w:t>
            </w:r>
          </w:p>
        </w:tc>
        <w:tc>
          <w:tcPr>
            <w:tcW w:w="1533" w:type="dxa"/>
            <w:shd w:val="clear" w:color="auto" w:fill="auto"/>
            <w:vAlign w:val="center"/>
          </w:tcPr>
          <w:p w14:paraId="25C3F017" w14:textId="77777777" w:rsidR="00890BF2" w:rsidRPr="00AC1A16" w:rsidRDefault="00890BF2" w:rsidP="0022379E">
            <w:pPr>
              <w:pStyle w:val="TCTableBody"/>
              <w:jc w:val="center"/>
              <w:cnfStyle w:val="000000000000" w:firstRow="0" w:lastRow="0" w:firstColumn="0" w:lastColumn="0" w:oddVBand="0" w:evenVBand="0" w:oddHBand="0" w:evenHBand="0" w:firstRowFirstColumn="0" w:firstRowLastColumn="0" w:lastRowFirstColumn="0" w:lastRowLastColumn="0"/>
              <w:rPr>
                <w:color w:val="auto"/>
              </w:rPr>
            </w:pPr>
            <w:r>
              <w:rPr>
                <w:color w:val="auto"/>
              </w:rPr>
              <w:t>1.01-1.03</w:t>
            </w:r>
          </w:p>
        </w:tc>
      </w:tr>
      <w:tr w:rsidR="00890BF2" w:rsidRPr="00AC1A16" w14:paraId="2D44FE96" w14:textId="77777777" w:rsidTr="0022379E">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985" w:type="dxa"/>
            <w:shd w:val="clear" w:color="auto" w:fill="auto"/>
          </w:tcPr>
          <w:p w14:paraId="39B702B1" w14:textId="77777777" w:rsidR="00890BF2" w:rsidRPr="00A47F0D" w:rsidRDefault="00890BF2" w:rsidP="0022379E">
            <w:pPr>
              <w:pStyle w:val="TCTableBody"/>
              <w:rPr>
                <w:b w:val="0"/>
                <w:color w:val="auto"/>
              </w:rPr>
            </w:pPr>
            <w:r w:rsidRPr="00A47F0D">
              <w:rPr>
                <w:b w:val="0"/>
                <w:color w:val="auto"/>
              </w:rPr>
              <w:t>pH</w:t>
            </w:r>
          </w:p>
        </w:tc>
        <w:tc>
          <w:tcPr>
            <w:tcW w:w="1419" w:type="dxa"/>
            <w:shd w:val="clear" w:color="auto" w:fill="auto"/>
          </w:tcPr>
          <w:p w14:paraId="3CEF0DED" w14:textId="77777777" w:rsidR="00890BF2" w:rsidRPr="00AC1A16" w:rsidRDefault="00890BF2" w:rsidP="0022379E">
            <w:pPr>
              <w:pStyle w:val="TCTableBody"/>
              <w:cnfStyle w:val="000000100000" w:firstRow="0" w:lastRow="0" w:firstColumn="0" w:lastColumn="0" w:oddVBand="0" w:evenVBand="0" w:oddHBand="1" w:evenHBand="0" w:firstRowFirstColumn="0" w:firstRowLastColumn="0" w:lastRowFirstColumn="0" w:lastRowLastColumn="0"/>
              <w:rPr>
                <w:color w:val="auto"/>
                <w:vertAlign w:val="superscript"/>
              </w:rPr>
            </w:pPr>
            <w:r w:rsidRPr="00AC1A16">
              <w:rPr>
                <w:color w:val="auto"/>
              </w:rPr>
              <w:t>8.58±0.02</w:t>
            </w:r>
            <w:r w:rsidRPr="002103DD">
              <w:rPr>
                <w:rFonts w:cs="Times"/>
                <w:sz w:val="20"/>
                <w:vertAlign w:val="superscript"/>
              </w:rPr>
              <w:t>♠</w:t>
            </w:r>
            <w:r>
              <w:rPr>
                <w:rFonts w:cs="Times"/>
                <w:sz w:val="20"/>
                <w:vertAlign w:val="superscript"/>
              </w:rPr>
              <w:t>(1)</w:t>
            </w:r>
          </w:p>
        </w:tc>
        <w:tc>
          <w:tcPr>
            <w:tcW w:w="1538" w:type="dxa"/>
            <w:shd w:val="clear" w:color="auto" w:fill="auto"/>
          </w:tcPr>
          <w:p w14:paraId="39F61DD5" w14:textId="77777777" w:rsidR="00890BF2" w:rsidRPr="00AC1A16" w:rsidRDefault="00890BF2" w:rsidP="0022379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8.88±0.02</w:t>
            </w:r>
            <w:r w:rsidRPr="002103DD">
              <w:rPr>
                <w:rFonts w:cs="Times"/>
                <w:sz w:val="20"/>
                <w:vertAlign w:val="superscript"/>
              </w:rPr>
              <w:t>♠</w:t>
            </w:r>
          </w:p>
        </w:tc>
        <w:tc>
          <w:tcPr>
            <w:tcW w:w="1690" w:type="dxa"/>
            <w:shd w:val="clear" w:color="auto" w:fill="auto"/>
          </w:tcPr>
          <w:p w14:paraId="31E33AF6" w14:textId="77777777" w:rsidR="00890BF2" w:rsidRPr="00AC1A16" w:rsidRDefault="00890BF2" w:rsidP="0022379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8.82±0.01</w:t>
            </w:r>
            <w:r w:rsidRPr="002103DD">
              <w:rPr>
                <w:rFonts w:cs="Times"/>
                <w:sz w:val="20"/>
                <w:vertAlign w:val="superscript"/>
              </w:rPr>
              <w:t>♠</w:t>
            </w:r>
          </w:p>
        </w:tc>
        <w:tc>
          <w:tcPr>
            <w:tcW w:w="1529" w:type="dxa"/>
            <w:shd w:val="clear" w:color="auto" w:fill="auto"/>
            <w:vAlign w:val="center"/>
          </w:tcPr>
          <w:p w14:paraId="7559CD40" w14:textId="77777777" w:rsidR="00890BF2" w:rsidRPr="00AC1A16" w:rsidRDefault="00890BF2" w:rsidP="0022379E">
            <w:pPr>
              <w:pStyle w:val="TCTableBody"/>
              <w:jc w:val="center"/>
              <w:cnfStyle w:val="000000100000" w:firstRow="0" w:lastRow="0" w:firstColumn="0" w:lastColumn="0" w:oddVBand="0" w:evenVBand="0" w:oddHBand="1" w:evenHBand="0" w:firstRowFirstColumn="0" w:firstRowLastColumn="0" w:lastRowFirstColumn="0" w:lastRowLastColumn="0"/>
              <w:rPr>
                <w:color w:val="auto"/>
              </w:rPr>
            </w:pPr>
            <w:r>
              <w:rPr>
                <w:color w:val="auto"/>
              </w:rPr>
              <w:t>7.71</w:t>
            </w:r>
            <w:r>
              <w:rPr>
                <w:rFonts w:cs="Times"/>
                <w:color w:val="auto"/>
              </w:rPr>
              <w:t>±</w:t>
            </w:r>
            <w:r>
              <w:rPr>
                <w:color w:val="auto"/>
              </w:rPr>
              <w:t>0.03</w:t>
            </w:r>
            <w:r w:rsidRPr="002103DD">
              <w:rPr>
                <w:rFonts w:cs="Times"/>
                <w:sz w:val="20"/>
                <w:vertAlign w:val="superscript"/>
              </w:rPr>
              <w:t>♠</w:t>
            </w:r>
            <w:r>
              <w:rPr>
                <w:rFonts w:cs="Times"/>
                <w:sz w:val="20"/>
                <w:vertAlign w:val="superscript"/>
              </w:rPr>
              <w:t>(1)</w:t>
            </w:r>
          </w:p>
        </w:tc>
        <w:tc>
          <w:tcPr>
            <w:tcW w:w="1533" w:type="dxa"/>
            <w:shd w:val="clear" w:color="auto" w:fill="auto"/>
            <w:vAlign w:val="center"/>
          </w:tcPr>
          <w:p w14:paraId="112400F2" w14:textId="77777777" w:rsidR="00890BF2" w:rsidRPr="00AC1A16" w:rsidRDefault="00890BF2" w:rsidP="0022379E">
            <w:pPr>
              <w:pStyle w:val="TCTableBody"/>
              <w:jc w:val="center"/>
              <w:cnfStyle w:val="000000100000" w:firstRow="0" w:lastRow="0" w:firstColumn="0" w:lastColumn="0" w:oddVBand="0" w:evenVBand="0" w:oddHBand="1" w:evenHBand="0" w:firstRowFirstColumn="0" w:firstRowLastColumn="0" w:lastRowFirstColumn="0" w:lastRowLastColumn="0"/>
              <w:rPr>
                <w:color w:val="auto"/>
              </w:rPr>
            </w:pPr>
            <w:r>
              <w:rPr>
                <w:color w:val="auto"/>
              </w:rPr>
              <w:t>9.11</w:t>
            </w:r>
            <w:r>
              <w:rPr>
                <w:rFonts w:cs="Times"/>
                <w:color w:val="auto"/>
              </w:rPr>
              <w:t>±</w:t>
            </w:r>
            <w:r>
              <w:rPr>
                <w:color w:val="auto"/>
              </w:rPr>
              <w:t>0.11</w:t>
            </w:r>
            <w:r w:rsidRPr="002103DD">
              <w:rPr>
                <w:rFonts w:cs="Times"/>
                <w:sz w:val="20"/>
                <w:vertAlign w:val="superscript"/>
              </w:rPr>
              <w:t>♠</w:t>
            </w:r>
            <w:r>
              <w:rPr>
                <w:rFonts w:cs="Times"/>
                <w:sz w:val="20"/>
                <w:vertAlign w:val="superscript"/>
              </w:rPr>
              <w:t>(1)</w:t>
            </w:r>
          </w:p>
        </w:tc>
      </w:tr>
      <w:tr w:rsidR="00890BF2" w:rsidRPr="00AC1A16" w14:paraId="2317971F" w14:textId="77777777" w:rsidTr="0022379E">
        <w:trPr>
          <w:trHeight w:val="293"/>
        </w:trPr>
        <w:tc>
          <w:tcPr>
            <w:cnfStyle w:val="001000000000" w:firstRow="0" w:lastRow="0" w:firstColumn="1" w:lastColumn="0" w:oddVBand="0" w:evenVBand="0" w:oddHBand="0" w:evenHBand="0" w:firstRowFirstColumn="0" w:firstRowLastColumn="0" w:lastRowFirstColumn="0" w:lastRowLastColumn="0"/>
            <w:tcW w:w="1985" w:type="dxa"/>
            <w:shd w:val="clear" w:color="auto" w:fill="auto"/>
            <w:vAlign w:val="center"/>
          </w:tcPr>
          <w:p w14:paraId="4AE77C96" w14:textId="77777777" w:rsidR="00890BF2" w:rsidRPr="00A47F0D" w:rsidRDefault="00890BF2" w:rsidP="0022379E">
            <w:pPr>
              <w:pStyle w:val="TCTableBody"/>
              <w:jc w:val="left"/>
              <w:rPr>
                <w:b w:val="0"/>
                <w:color w:val="auto"/>
              </w:rPr>
            </w:pPr>
            <w:r w:rsidRPr="00A47F0D">
              <w:rPr>
                <w:b w:val="0"/>
                <w:color w:val="auto"/>
              </w:rPr>
              <w:t>Viscosity (mPa∙s)</w:t>
            </w:r>
          </w:p>
        </w:tc>
        <w:tc>
          <w:tcPr>
            <w:tcW w:w="1419" w:type="dxa"/>
            <w:shd w:val="clear" w:color="auto" w:fill="auto"/>
            <w:vAlign w:val="center"/>
          </w:tcPr>
          <w:p w14:paraId="2DA353E5" w14:textId="77777777" w:rsidR="00890BF2" w:rsidRPr="00AC1A16" w:rsidRDefault="00890BF2" w:rsidP="0022379E">
            <w:pPr>
              <w:pStyle w:val="TCTableBody"/>
              <w:jc w:val="center"/>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73.00±3.68</w:t>
            </w:r>
            <w:r w:rsidRPr="002103DD">
              <w:rPr>
                <w:color w:val="auto"/>
                <w:sz w:val="20"/>
              </w:rPr>
              <w:t>*</w:t>
            </w:r>
          </w:p>
        </w:tc>
        <w:tc>
          <w:tcPr>
            <w:tcW w:w="1538" w:type="dxa"/>
            <w:shd w:val="clear" w:color="auto" w:fill="auto"/>
            <w:vAlign w:val="center"/>
          </w:tcPr>
          <w:p w14:paraId="6DD64404" w14:textId="77777777" w:rsidR="00890BF2" w:rsidRPr="00AC1A16" w:rsidRDefault="00890BF2" w:rsidP="0022379E">
            <w:pPr>
              <w:pStyle w:val="TCTableBody"/>
              <w:jc w:val="center"/>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73.75±3.18</w:t>
            </w:r>
            <w:r w:rsidRPr="002103DD">
              <w:rPr>
                <w:color w:val="auto"/>
                <w:sz w:val="20"/>
              </w:rPr>
              <w:t>*</w:t>
            </w:r>
          </w:p>
        </w:tc>
        <w:tc>
          <w:tcPr>
            <w:tcW w:w="1690" w:type="dxa"/>
            <w:shd w:val="clear" w:color="auto" w:fill="auto"/>
            <w:vAlign w:val="center"/>
          </w:tcPr>
          <w:p w14:paraId="4FFC46C3" w14:textId="77777777" w:rsidR="00890BF2" w:rsidRPr="00AC1A16" w:rsidRDefault="00890BF2" w:rsidP="0022379E">
            <w:pPr>
              <w:pStyle w:val="TCTableBody"/>
              <w:jc w:val="center"/>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73.80±4.24</w:t>
            </w:r>
            <w:r w:rsidRPr="002103DD">
              <w:rPr>
                <w:color w:val="auto"/>
                <w:sz w:val="20"/>
              </w:rPr>
              <w:t>*</w:t>
            </w:r>
          </w:p>
        </w:tc>
        <w:tc>
          <w:tcPr>
            <w:tcW w:w="1529" w:type="dxa"/>
            <w:shd w:val="clear" w:color="auto" w:fill="auto"/>
            <w:vAlign w:val="center"/>
          </w:tcPr>
          <w:p w14:paraId="1C3383AE" w14:textId="77777777" w:rsidR="00890BF2" w:rsidRPr="00AC1A16" w:rsidRDefault="00890BF2" w:rsidP="0022379E">
            <w:pPr>
              <w:pStyle w:val="TCTableBody"/>
              <w:jc w:val="center"/>
              <w:cnfStyle w:val="000000000000" w:firstRow="0" w:lastRow="0" w:firstColumn="0" w:lastColumn="0" w:oddVBand="0" w:evenVBand="0" w:oddHBand="0" w:evenHBand="0" w:firstRowFirstColumn="0" w:firstRowLastColumn="0" w:lastRowFirstColumn="0" w:lastRowLastColumn="0"/>
              <w:rPr>
                <w:color w:val="auto"/>
              </w:rPr>
            </w:pPr>
            <w:r>
              <w:rPr>
                <w:color w:val="auto"/>
              </w:rPr>
              <w:t>200-300</w:t>
            </w:r>
          </w:p>
        </w:tc>
        <w:tc>
          <w:tcPr>
            <w:tcW w:w="1533" w:type="dxa"/>
            <w:shd w:val="clear" w:color="auto" w:fill="auto"/>
            <w:vAlign w:val="center"/>
          </w:tcPr>
          <w:p w14:paraId="7F4F5FB5" w14:textId="77777777" w:rsidR="00890BF2" w:rsidRPr="00AC1A16" w:rsidRDefault="00890BF2" w:rsidP="0022379E">
            <w:pPr>
              <w:pStyle w:val="TCTableBody"/>
              <w:jc w:val="center"/>
              <w:cnfStyle w:val="000000000000" w:firstRow="0" w:lastRow="0" w:firstColumn="0" w:lastColumn="0" w:oddVBand="0" w:evenVBand="0" w:oddHBand="0" w:evenHBand="0" w:firstRowFirstColumn="0" w:firstRowLastColumn="0" w:lastRowFirstColumn="0" w:lastRowLastColumn="0"/>
              <w:rPr>
                <w:color w:val="auto"/>
              </w:rPr>
            </w:pPr>
            <w:r>
              <w:rPr>
                <w:color w:val="auto"/>
              </w:rPr>
              <w:t>74.3±4.03</w:t>
            </w:r>
            <w:r w:rsidRPr="002103DD">
              <w:rPr>
                <w:color w:val="auto"/>
                <w:sz w:val="20"/>
              </w:rPr>
              <w:t>*</w:t>
            </w:r>
          </w:p>
        </w:tc>
      </w:tr>
      <w:tr w:rsidR="00890BF2" w:rsidRPr="00AC1A16" w14:paraId="65122CCE" w14:textId="77777777" w:rsidTr="0022379E">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985" w:type="dxa"/>
            <w:tcBorders>
              <w:bottom w:val="single" w:sz="4" w:space="0" w:color="auto"/>
            </w:tcBorders>
            <w:shd w:val="clear" w:color="auto" w:fill="auto"/>
          </w:tcPr>
          <w:p w14:paraId="5B0D372F" w14:textId="77777777" w:rsidR="00890BF2" w:rsidRPr="00A47F0D" w:rsidRDefault="00890BF2" w:rsidP="0022379E">
            <w:pPr>
              <w:pStyle w:val="TCTableBody"/>
              <w:rPr>
                <w:b w:val="0"/>
                <w:color w:val="auto"/>
              </w:rPr>
            </w:pPr>
            <w:r w:rsidRPr="00A47F0D">
              <w:rPr>
                <w:b w:val="0"/>
                <w:color w:val="auto"/>
              </w:rPr>
              <w:t>NVC % (w/w)</w:t>
            </w:r>
          </w:p>
        </w:tc>
        <w:tc>
          <w:tcPr>
            <w:tcW w:w="1419" w:type="dxa"/>
            <w:tcBorders>
              <w:bottom w:val="single" w:sz="4" w:space="0" w:color="auto"/>
            </w:tcBorders>
            <w:shd w:val="clear" w:color="auto" w:fill="auto"/>
          </w:tcPr>
          <w:p w14:paraId="250AE563" w14:textId="77777777" w:rsidR="00890BF2" w:rsidRPr="00AC1A16" w:rsidRDefault="00890BF2" w:rsidP="0022379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36.81±0.36</w:t>
            </w:r>
            <w:r w:rsidRPr="002103DD">
              <w:rPr>
                <w:rFonts w:cs="Times"/>
                <w:sz w:val="20"/>
                <w:vertAlign w:val="superscript"/>
              </w:rPr>
              <w:t>♠</w:t>
            </w:r>
            <w:r w:rsidRPr="00AC1A16">
              <w:rPr>
                <w:color w:val="auto"/>
                <w:vertAlign w:val="superscript"/>
              </w:rPr>
              <w:t>(1)</w:t>
            </w:r>
          </w:p>
        </w:tc>
        <w:tc>
          <w:tcPr>
            <w:tcW w:w="1538" w:type="dxa"/>
            <w:tcBorders>
              <w:bottom w:val="single" w:sz="4" w:space="0" w:color="auto"/>
            </w:tcBorders>
            <w:shd w:val="clear" w:color="auto" w:fill="auto"/>
          </w:tcPr>
          <w:p w14:paraId="2E0EBC3E" w14:textId="77777777" w:rsidR="00890BF2" w:rsidRPr="00AC1A16" w:rsidRDefault="00890BF2" w:rsidP="0022379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37.42±0.07</w:t>
            </w:r>
            <w:r w:rsidRPr="002103DD">
              <w:rPr>
                <w:rFonts w:cs="Times"/>
                <w:sz w:val="20"/>
                <w:vertAlign w:val="superscript"/>
              </w:rPr>
              <w:t>♠</w:t>
            </w:r>
          </w:p>
        </w:tc>
        <w:tc>
          <w:tcPr>
            <w:tcW w:w="1690" w:type="dxa"/>
            <w:shd w:val="clear" w:color="auto" w:fill="auto"/>
          </w:tcPr>
          <w:p w14:paraId="06584F9F" w14:textId="77777777" w:rsidR="00890BF2" w:rsidRPr="00AC1A16" w:rsidRDefault="00890BF2" w:rsidP="0022379E">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37.41±0.03</w:t>
            </w:r>
            <w:r w:rsidRPr="002103DD">
              <w:rPr>
                <w:rFonts w:cs="Times"/>
                <w:sz w:val="20"/>
                <w:vertAlign w:val="superscript"/>
              </w:rPr>
              <w:t>♠</w:t>
            </w:r>
          </w:p>
        </w:tc>
        <w:tc>
          <w:tcPr>
            <w:tcW w:w="1529" w:type="dxa"/>
            <w:shd w:val="clear" w:color="auto" w:fill="auto"/>
            <w:vAlign w:val="center"/>
          </w:tcPr>
          <w:p w14:paraId="04F349FA" w14:textId="77777777" w:rsidR="00890BF2" w:rsidRPr="00AC1A16" w:rsidRDefault="00890BF2" w:rsidP="0022379E">
            <w:pPr>
              <w:pStyle w:val="TCTableBody"/>
              <w:jc w:val="center"/>
              <w:cnfStyle w:val="000000100000" w:firstRow="0" w:lastRow="0" w:firstColumn="0" w:lastColumn="0" w:oddVBand="0" w:evenVBand="0" w:oddHBand="1" w:evenHBand="0" w:firstRowFirstColumn="0" w:firstRowLastColumn="0" w:lastRowFirstColumn="0" w:lastRowLastColumn="0"/>
              <w:rPr>
                <w:color w:val="auto"/>
              </w:rPr>
            </w:pPr>
            <w:r>
              <w:rPr>
                <w:color w:val="auto"/>
              </w:rPr>
              <w:t>35.11</w:t>
            </w:r>
            <w:r>
              <w:rPr>
                <w:rFonts w:cs="Times"/>
                <w:color w:val="auto"/>
              </w:rPr>
              <w:t>±</w:t>
            </w:r>
            <w:r>
              <w:rPr>
                <w:color w:val="auto"/>
              </w:rPr>
              <w:t>0.13</w:t>
            </w:r>
            <w:r w:rsidRPr="002103DD">
              <w:rPr>
                <w:rFonts w:cs="Times"/>
                <w:sz w:val="20"/>
                <w:vertAlign w:val="superscript"/>
              </w:rPr>
              <w:t>♠</w:t>
            </w:r>
            <w:r>
              <w:rPr>
                <w:rFonts w:cs="Times"/>
                <w:sz w:val="20"/>
                <w:vertAlign w:val="superscript"/>
              </w:rPr>
              <w:t>(1)</w:t>
            </w:r>
          </w:p>
        </w:tc>
        <w:tc>
          <w:tcPr>
            <w:tcW w:w="1533" w:type="dxa"/>
            <w:shd w:val="clear" w:color="auto" w:fill="auto"/>
            <w:vAlign w:val="center"/>
          </w:tcPr>
          <w:p w14:paraId="0469ACAD" w14:textId="77777777" w:rsidR="00890BF2" w:rsidRPr="00AC1A16" w:rsidRDefault="00890BF2" w:rsidP="0022379E">
            <w:pPr>
              <w:pStyle w:val="TCTableBody"/>
              <w:jc w:val="center"/>
              <w:cnfStyle w:val="000000100000" w:firstRow="0" w:lastRow="0" w:firstColumn="0" w:lastColumn="0" w:oddVBand="0" w:evenVBand="0" w:oddHBand="1" w:evenHBand="0" w:firstRowFirstColumn="0" w:firstRowLastColumn="0" w:lastRowFirstColumn="0" w:lastRowLastColumn="0"/>
              <w:rPr>
                <w:color w:val="auto"/>
              </w:rPr>
            </w:pPr>
            <w:r>
              <w:rPr>
                <w:color w:val="auto"/>
              </w:rPr>
              <w:t>36.21</w:t>
            </w:r>
            <w:r>
              <w:rPr>
                <w:rFonts w:cs="Times"/>
                <w:color w:val="auto"/>
              </w:rPr>
              <w:t>±</w:t>
            </w:r>
            <w:r>
              <w:rPr>
                <w:color w:val="auto"/>
              </w:rPr>
              <w:t>0.19</w:t>
            </w:r>
            <w:r w:rsidRPr="002103DD">
              <w:rPr>
                <w:rFonts w:cs="Times"/>
                <w:sz w:val="20"/>
                <w:vertAlign w:val="superscript"/>
              </w:rPr>
              <w:t>♠</w:t>
            </w:r>
            <w:r>
              <w:rPr>
                <w:rFonts w:cs="Times"/>
                <w:sz w:val="20"/>
                <w:vertAlign w:val="superscript"/>
              </w:rPr>
              <w:t>(1)</w:t>
            </w:r>
          </w:p>
        </w:tc>
      </w:tr>
      <w:tr w:rsidR="00890BF2" w:rsidRPr="00AC1A16" w14:paraId="07A68DD5" w14:textId="77777777" w:rsidTr="0022379E">
        <w:trPr>
          <w:trHeight w:val="293"/>
        </w:trPr>
        <w:tc>
          <w:tcPr>
            <w:cnfStyle w:val="001000000000" w:firstRow="0" w:lastRow="0" w:firstColumn="1" w:lastColumn="0" w:oddVBand="0" w:evenVBand="0" w:oddHBand="0" w:evenHBand="0" w:firstRowFirstColumn="0" w:firstRowLastColumn="0" w:lastRowFirstColumn="0" w:lastRowLastColumn="0"/>
            <w:tcW w:w="6632" w:type="dxa"/>
            <w:gridSpan w:val="4"/>
            <w:tcBorders>
              <w:top w:val="single" w:sz="4" w:space="0" w:color="auto"/>
              <w:bottom w:val="single" w:sz="4" w:space="0" w:color="auto"/>
            </w:tcBorders>
            <w:shd w:val="clear" w:color="auto" w:fill="auto"/>
          </w:tcPr>
          <w:p w14:paraId="55F3976E" w14:textId="77777777" w:rsidR="00890BF2" w:rsidRDefault="00890BF2" w:rsidP="0022379E">
            <w:pPr>
              <w:spacing w:after="0"/>
              <w:rPr>
                <w:b w:val="0"/>
                <w:bCs w:val="0"/>
                <w:sz w:val="18"/>
                <w:szCs w:val="18"/>
              </w:rPr>
            </w:pPr>
            <w:r w:rsidRPr="0001381D">
              <w:rPr>
                <w:b w:val="0"/>
                <w:bCs w:val="0"/>
                <w:sz w:val="18"/>
                <w:szCs w:val="18"/>
              </w:rPr>
              <w:t xml:space="preserve">ANOVAOneWay: *The population means are not significantly different at the 0.05 level. </w:t>
            </w:r>
            <w:r w:rsidRPr="0001381D">
              <w:rPr>
                <w:rFonts w:cs="Times"/>
                <w:b w:val="0"/>
                <w:bCs w:val="0"/>
                <w:sz w:val="18"/>
                <w:szCs w:val="18"/>
                <w:vertAlign w:val="superscript"/>
              </w:rPr>
              <w:t>♠</w:t>
            </w:r>
            <w:r w:rsidRPr="0001381D">
              <w:rPr>
                <w:b w:val="0"/>
                <w:bCs w:val="0"/>
                <w:sz w:val="18"/>
                <w:szCs w:val="18"/>
              </w:rPr>
              <w:t>The population means are significant</w:t>
            </w:r>
            <w:r>
              <w:rPr>
                <w:b w:val="0"/>
                <w:bCs w:val="0"/>
                <w:sz w:val="18"/>
                <w:szCs w:val="18"/>
              </w:rPr>
              <w:t>ly different at the 0.05 level.</w:t>
            </w:r>
          </w:p>
          <w:p w14:paraId="054DD160" w14:textId="7861AB3F" w:rsidR="00890BF2" w:rsidRPr="0001381D" w:rsidRDefault="00890BF2" w:rsidP="0022379E">
            <w:pPr>
              <w:spacing w:after="0"/>
              <w:rPr>
                <w:b w:val="0"/>
                <w:bCs w:val="0"/>
                <w:sz w:val="18"/>
                <w:szCs w:val="18"/>
              </w:rPr>
            </w:pPr>
            <w:r w:rsidRPr="0001381D">
              <w:rPr>
                <w:b w:val="0"/>
                <w:bCs w:val="0"/>
                <w:sz w:val="18"/>
                <w:szCs w:val="18"/>
              </w:rPr>
              <w:t>Bonferroni and Tukey test among the same parameter:</w:t>
            </w:r>
            <w:r w:rsidRPr="0001381D">
              <w:rPr>
                <w:b w:val="0"/>
                <w:bCs w:val="0"/>
                <w:sz w:val="18"/>
                <w:szCs w:val="18"/>
                <w:vertAlign w:val="superscript"/>
              </w:rPr>
              <w:t xml:space="preserve"> 1 </w:t>
            </w:r>
            <w:r w:rsidRPr="0001381D">
              <w:rPr>
                <w:b w:val="0"/>
                <w:bCs w:val="0"/>
                <w:sz w:val="18"/>
                <w:szCs w:val="18"/>
              </w:rPr>
              <w:t>The difference of the mean is significantly different at the 0.05 level. No number in superscript indicates that the difference of the mean is not significant at the 0.05 level.</w:t>
            </w:r>
          </w:p>
        </w:tc>
        <w:tc>
          <w:tcPr>
            <w:tcW w:w="3062" w:type="dxa"/>
            <w:gridSpan w:val="2"/>
            <w:tcBorders>
              <w:top w:val="single" w:sz="4" w:space="0" w:color="auto"/>
              <w:bottom w:val="single" w:sz="4" w:space="0" w:color="auto"/>
            </w:tcBorders>
            <w:vAlign w:val="center"/>
          </w:tcPr>
          <w:p w14:paraId="62EE594F" w14:textId="77777777" w:rsidR="00890BF2" w:rsidRDefault="00890BF2" w:rsidP="0022379E">
            <w:pPr>
              <w:spacing w:line="276" w:lineRule="auto"/>
              <w:jc w:val="left"/>
              <w:cnfStyle w:val="000000000000" w:firstRow="0" w:lastRow="0" w:firstColumn="0" w:lastColumn="0" w:oddVBand="0" w:evenVBand="0" w:oddHBand="0" w:evenHBand="0" w:firstRowFirstColumn="0" w:firstRowLastColumn="0" w:lastRowFirstColumn="0" w:lastRowLastColumn="0"/>
              <w:rPr>
                <w:rFonts w:cs="Times"/>
                <w:color w:val="auto"/>
                <w:sz w:val="18"/>
                <w:szCs w:val="18"/>
              </w:rPr>
            </w:pPr>
            <w:r w:rsidRPr="0001381D">
              <w:rPr>
                <w:rFonts w:cs="Times"/>
                <w:color w:val="auto"/>
                <w:sz w:val="18"/>
                <w:szCs w:val="18"/>
                <w:vertAlign w:val="superscript"/>
              </w:rPr>
              <w:t>a</w:t>
            </w:r>
            <w:r w:rsidRPr="0001381D">
              <w:rPr>
                <w:rFonts w:cs="Times"/>
                <w:color w:val="auto"/>
                <w:sz w:val="18"/>
                <w:szCs w:val="18"/>
              </w:rPr>
              <w:t>B77: water borne fireproofing coating based on acrylic resin</w:t>
            </w:r>
          </w:p>
          <w:p w14:paraId="156610FE" w14:textId="19E65D43" w:rsidR="00890BF2" w:rsidRPr="0001381D" w:rsidRDefault="00890BF2" w:rsidP="0022379E">
            <w:pPr>
              <w:spacing w:line="276" w:lineRule="auto"/>
              <w:jc w:val="left"/>
              <w:cnfStyle w:val="000000000000" w:firstRow="0" w:lastRow="0" w:firstColumn="0" w:lastColumn="0" w:oddVBand="0" w:evenVBand="0" w:oddHBand="0" w:evenHBand="0" w:firstRowFirstColumn="0" w:firstRowLastColumn="0" w:lastRowFirstColumn="0" w:lastRowLastColumn="0"/>
              <w:rPr>
                <w:rFonts w:cs="Times"/>
                <w:color w:val="auto"/>
                <w:sz w:val="18"/>
                <w:szCs w:val="18"/>
              </w:rPr>
            </w:pPr>
            <w:r w:rsidRPr="0001381D">
              <w:rPr>
                <w:rFonts w:cs="Times"/>
                <w:sz w:val="18"/>
                <w:szCs w:val="18"/>
                <w:vertAlign w:val="superscript"/>
              </w:rPr>
              <w:t>b</w:t>
            </w:r>
            <w:r w:rsidRPr="0001381D">
              <w:rPr>
                <w:rFonts w:cs="Times"/>
                <w:sz w:val="18"/>
                <w:szCs w:val="18"/>
              </w:rPr>
              <w:t>Quidedur: two-phase polyurethane based firep</w:t>
            </w:r>
            <w:r w:rsidRPr="0001381D">
              <w:rPr>
                <w:rFonts w:cs="Times"/>
                <w:color w:val="auto"/>
                <w:sz w:val="18"/>
                <w:szCs w:val="18"/>
              </w:rPr>
              <w:t>roofing coating.</w:t>
            </w:r>
          </w:p>
        </w:tc>
      </w:tr>
    </w:tbl>
    <w:p w14:paraId="36060804" w14:textId="0752BF35" w:rsidR="00890BF2" w:rsidRDefault="00890BF2" w:rsidP="00EA1A18"/>
    <w:p w14:paraId="1DDCF2E1" w14:textId="3935AAF0" w:rsidR="006055CE" w:rsidRPr="00AC1A16" w:rsidRDefault="006055CE" w:rsidP="00EA1A18">
      <w:pPr>
        <w:pStyle w:val="TAMainText"/>
        <w:spacing w:before="360"/>
        <w:ind w:firstLine="204"/>
      </w:pPr>
      <w:r w:rsidRPr="00AC1A16">
        <w:t>With respect to the previous results, it was seen that the determined parameters presented values with no significant differences</w:t>
      </w:r>
      <w:r w:rsidR="00F949DD" w:rsidRPr="00AC1A16">
        <w:t xml:space="preserve"> for the biobased resin formulations</w:t>
      </w:r>
      <w:r w:rsidR="0074143C" w:rsidRPr="00AC1A16">
        <w:t>, as shown by the ANOVA analysis</w:t>
      </w:r>
      <w:r w:rsidRPr="00AC1A16">
        <w:t>. Nevertheless, the differences detected</w:t>
      </w:r>
      <w:r w:rsidR="00A87D36" w:rsidRPr="00AC1A16">
        <w:t xml:space="preserve"> (pH and NVC)</w:t>
      </w:r>
      <w:r w:rsidRPr="00AC1A16">
        <w:t xml:space="preserve">, which at first sight may appear slight, followed analogous tendencies. The pH of the resins formulations showed rather alkaline values. This was expected since the pH of the tannins phase was set at 10.4. Besides the lignin, which was the other main raw material, was dissolved at an alkaline pH prior to the glyoxalation reaction. The fact that the pH was slightly reduced from that of the tannins phase was related to </w:t>
      </w:r>
      <w:r w:rsidR="00AC38CB">
        <w:t xml:space="preserve"> a slight amount of unreacted </w:t>
      </w:r>
      <w:r w:rsidRPr="00AC1A16">
        <w:t>glyoxal (</w:t>
      </w:r>
      <w:r w:rsidR="00AC38CB">
        <w:t>acidic pH</w:t>
      </w:r>
      <w:r w:rsidR="00AC38CB" w:rsidRPr="00AC1A16">
        <w:t xml:space="preserve"> </w:t>
      </w:r>
      <w:r w:rsidRPr="00AC1A16">
        <w:t xml:space="preserve">2-3.5), which could have remained in the glyoxalated lignin </w:t>
      </w:r>
      <w:r w:rsidRPr="00AC1A16">
        <w:lastRenderedPageBreak/>
        <w:t>phase. Concerning the densities of the different formulations, they were lower than the ones reported in the literature for other phenolic resins based on the phenol formaldehyde type</w:t>
      </w:r>
      <w:r w:rsidR="00A4451C" w:rsidRPr="00AC1A16">
        <w:fldChar w:fldCharType="begin" w:fldLock="1"/>
      </w:r>
      <w:r w:rsidR="006838E0">
        <w:instrText>ADDIN CSL_CITATION { "citationItems" : [ { "id" : "ITEM-1", "itemData" : { "abstract" : "This study was conducted to evaluate the effects of bio-oil incorporation on properties of bio-oil-phenol formaldehyde (BPF) resol resins along with the optimization of petro-phenol substitution level. Crude bio-oil prepared from endocarp shells of Ziziphus mauritiana by direct solvolytic liquefaction (ethanol-water 1:1 wt./wt. at 300 \u00b0C) was used to partially substitute the petro-phenol (30% to 75% wt./wt.) in the resin synthesis. The modified resins were subjected to measurement of various properties, including molecular weight, pH, viscosity, density, gel/cure time, non-volatile solid content, and limiting oxygen index. Bonding performance of the BPF resins was evaluated by measuring the mechanical and hygroscopic properties of the particle boards developed using such resins. With the incorporation of bio-oil, the viscosity and molecular weight of the BPF resins increased, while the values of pH, density, non-volatile solid content, and limiting oxygen index decreased. The gel, cure, and bonding tests revealed that with the addition of more than 45% bio-oil, the gel/cure times of the BPF resins increased, while the bonding performance decreased. Petro-phenol could therefore be substituted by crude bio-oil up to 45% wt./wt. safely.", "author" : [ { "dropping-particle" : "", "family" : "Shahid", "given" : "S. A.", "non-dropping-particle" : "", "parse-names" : false, "suffix" : "" }, { "dropping-particle" : "", "family" : "Ali", "given" : "M.", "non-dropping-particle" : "", "parse-names" : false, "suffix" : "" }, { "dropping-particle" : "", "family" : "Zafar", "given" : "Z. I.", "non-dropping-particle" : "", "parse-names" : false, "suffix" : "" } ], "container-title" : "BioResources", "id" : "ITEM-1", "issue" : "3", "issued" : { "date-parts" : [ [ "2014" ] ] }, "page" : "5362-5384", "title" : "Characterization of phenol-formaldehyde resins modified with crude bio-oil prepared from Ziziphus mauritiana endocarps", "type" : "article-journal", "volume" : "9" }, "uris" : [ "http://www.mendeley.com/documents/?uuid=c5fc1091-1d20-3833-aed0-1e916744d44d" ] }, { "id" : "ITEM-2", "itemData" : { "abstract" : ": The ultimate aim of this work was to develop a phenolic resin for partially replacing phenol with modified organosolv\r\nlignin in phenol-formaldehyde (PF) resin production. The lignin-formaldehyde relationship was determined in a reactivity test.\r\nOrganosolv lignin-phenol-formaldehyde (LPF) resins were produced in a two-step preparation with different additions of lignin. The\r\nmethod selected for the manufacture of lignin resins dealt with modification of the lignin by the methylolation route. The effects of\r\ndifferent substitution levels of organosolv lignin on strength properties were evaluated by testing lignin resin impregnated paper\r\nstrips. A comparison of the tensile properties of organosolv lignin formulations, impregnated and cured onto glass fibre paper strips,\r\nwas made with those of PF resin. Organosolv lignin-based resins showed comparatively good strength and stiffness. The tensile\r\nstrength properties of test samples made from organosolv lignin resins were equal to or better than those of test samples made\r\nfrom PF resin only. The physical properties (solid content, specific gravity, viscosity and gel time) of formulated resins were also\r\ndetermined before use and compared to a control PF resin used to bond particleboards. The particleboards were manufactured using\r\nliquid phenolic resins. The particleboards were tested for their physical strength and dimensional stability properties. The properties\r\nof particleboards bonded with LPF resins were comparable to those of the control-bonded particleboards. The results indicated that\r\norganosolv lignin was a feasible replacement for up to 30% of the phenol in particleboard-type PF resins.", "author" : [ { "dropping-particle" : "", "family" : "\u00c7etin", "given" : "Nihat Sami", "non-dropping-particle" : "", "parse-names" : false, "suffix" : "" }, { "dropping-particle" : "", "family" : "\u00d6zmen", "given" : "Nilg\u00fcl", "non-dropping-particle" : "", "parse-names" : false, "suffix" : "" } ], "container-title" : "Turkish Journal of Agriculture and Technology", "id" : "ITEM-2", "issued" : { "date-parts" : [ [ "2003" ] ] }, "page" : "183-189", "title" : "Studies on Lignin-Based Adhesives for Particleboard Panels", "type" : "article-journal", "volume" : "27" }, "uris" : [ "http://www.mendeley.com/documents/?uuid=6dd95c92-fe6b-37eb-867a-f24d464d9e75" ] } ], "mendeley" : { "formattedCitation" : "&lt;sup&gt;50,51&lt;/sup&gt;", "plainTextFormattedCitation" : "50,51", "previouslyFormattedCitation" : "&lt;sup&gt;50,51&lt;/sup&gt;" }, "properties" : {  }, "schema" : "https://github.com/citation-style-language/schema/raw/master/csl-citation.json" }</w:instrText>
      </w:r>
      <w:r w:rsidR="00A4451C" w:rsidRPr="00AC1A16">
        <w:fldChar w:fldCharType="separate"/>
      </w:r>
      <w:r w:rsidR="006838E0" w:rsidRPr="006838E0">
        <w:rPr>
          <w:noProof/>
          <w:vertAlign w:val="superscript"/>
        </w:rPr>
        <w:t>50,51</w:t>
      </w:r>
      <w:r w:rsidR="00A4451C" w:rsidRPr="00AC1A16">
        <w:fldChar w:fldCharType="end"/>
      </w:r>
      <w:r w:rsidRPr="00AC1A16">
        <w:t>. This was due to the considerable amount of solvent employed in the synthesis of the different formulations (ratio Liquid/Solid&gt;1)</w:t>
      </w:r>
      <w:r w:rsidR="00282454" w:rsidRPr="00AC1A16">
        <w:t>, which was water (waterborne type resin)</w:t>
      </w:r>
      <w:r w:rsidRPr="00AC1A16">
        <w:t>. This had also a direct influence over the percentage of non-volatile compounds, which was lower than 50%. The values determined for this parameter were around 40% and presented a slight increase in the formulations where inorganic nanoparticles were added, owing to the little increment of the solid content. The values of the NVC were lower compared to other works from the literatur</w:t>
      </w:r>
      <w:r w:rsidR="000026B6" w:rsidRPr="00AC1A16">
        <w:t>e</w:t>
      </w:r>
      <w:r w:rsidR="00A4451C" w:rsidRPr="00AC1A16">
        <w:fldChar w:fldCharType="begin" w:fldLock="1"/>
      </w:r>
      <w:r w:rsidR="006838E0">
        <w:instrText>ADDIN CSL_CITATION { "citationItems" : [ { "id" : "ITEM-1", "itemData" : { "DOI" : "10.1080/00218464.2018.1471994", "ISSN" : "0021-8464", "abstract" : "ABSTRACTThe aim of this research was to evaluate the properties of particleboard panels bonded with ionic liquid treated lignin- phenol- glyoxal (LPG) resin. For this purpose, soda bagasse lignin w...", "author" : [ { "dropping-particle" : "", "family" : "Younesi-Kordkheili", "given" : "Hamed", "non-dropping-particle" : "", "parse-names" : false, "suffix" : "" } ], "container-title" : "The Journal of Adhesion", "id" : "ITEM-1", "issued" : { "date-parts" : [ [ "2018", "5", "31" ] ] }, "page" : "1-13", "publisher" : "Taylor &amp; Francis", "title" : "Ionic liquid modified lignin-phenol-glyoxal resin: a green alternative resin for production of particleboards", "type" : "article-journal" }, "uris" : [ "http://www.mendeley.com/documents/?uuid=477888e5-3822-3172-9e40-e6affbe0bfe3" ] }, { "id" : "ITEM-2", "itemData" : { "author" : [ { "dropping-particle" : "", "family" : "Lin", "given" : "Ruihang", "non-dropping-particle" : "", "parse-names" : false, "suffix" : "" }, { "dropping-particle" : "", "family" : "Sun", "given" : "Jin", "non-dropping-particle" : "", "parse-names" : false, "suffix" : "" }, { "dropping-particle" : "", "family" : "Yue", "given" : "Chao", "non-dropping-particle" : "", "parse-names" : false, "suffix" : "" }, { "dropping-particle" : "", "family" : "Wang", "given" : "Xiaobo", "non-dropping-particle" : "", "parse-names" : false, "suffix" : "" }, { "dropping-particle" : "", "family" : "Tu", "given" : "Dengyu", "non-dropping-particle" : "", "parse-names" : false, "suffix" : "" }, { "dropping-particle" : "", "family" : "Gao", "given" : "Zhenzhong", "non-dropping-particle" : "", "parse-names" : false, "suffix" : "" } ], "container-title" : "Maderas. Ciencia y tecnolog\u00eda", "id" : "ITEM-2", "issue" : "2", "issued" : { "date-parts" : [ [ "2014" ] ] }, "page" : "159-174", "publisher" : "Wood Engineering Dept., Universidad del Bi\u0301o-Bi\u0301o", "title" : "Study on preparation and properties of phenol-formaldehyde-chinese fir liquefaction copolymer resin", "type" : "article-journal", "volume" : "16" }, "uris" : [ "http://www.mendeley.com/documents/?uuid=4ac4a99f-83a1-3656-875b-3e2a0a09a797" ] } ], "mendeley" : { "formattedCitation" : "&lt;sup&gt;52,53&lt;/sup&gt;", "plainTextFormattedCitation" : "52,53", "previouslyFormattedCitation" : "&lt;sup&gt;52,53&lt;/sup&gt;" }, "properties" : {  }, "schema" : "https://github.com/citation-style-language/schema/raw/master/csl-citation.json" }</w:instrText>
      </w:r>
      <w:r w:rsidR="00A4451C" w:rsidRPr="00AC1A16">
        <w:fldChar w:fldCharType="separate"/>
      </w:r>
      <w:r w:rsidR="006838E0" w:rsidRPr="006838E0">
        <w:rPr>
          <w:noProof/>
          <w:vertAlign w:val="superscript"/>
        </w:rPr>
        <w:t>52,53</w:t>
      </w:r>
      <w:r w:rsidR="00A4451C" w:rsidRPr="00AC1A16">
        <w:fldChar w:fldCharType="end"/>
      </w:r>
      <w:r w:rsidRPr="00AC1A16">
        <w:t xml:space="preserve"> and especially compared to the typical phenol formaldehyde resin</w:t>
      </w:r>
      <w:r w:rsidR="000026B6" w:rsidRPr="00AC1A16">
        <w:t>s</w:t>
      </w:r>
      <w:r w:rsidR="00A4451C" w:rsidRPr="00AC1A16">
        <w:fldChar w:fldCharType="begin" w:fldLock="1"/>
      </w:r>
      <w:r w:rsidR="006838E0">
        <w:instrText>ADDIN CSL_CITATION { "citationItems" : [ { "id" : "ITEM-1", "itemData" : { "DOI" : "10.1002/app.40014", "author" : [ { "dropping-particle" : "", "family" : "Chaouch", "given" : "Mounir", "non-dropping-particle" : "", "parse-names" : false, "suffix" : "" }, { "dropping-particle" : "", "family" : "Diouf", "given" : "Papa Niokhor", "non-dropping-particle" : "", "parse-names" : false, "suffix" : "" }, { "dropping-particle" : "", "family" : "Laghdir", "given" : "Aziz", "non-dropping-particle" : "", "parse-names" : false, "suffix" : "" }, { "dropping-particle" : "", "family" : "Yin", "given" : "Suzhou", "non-dropping-particle" : "", "parse-names" : false, "suffix" : "" } ], "container-title" : "Journal of Applied Polymer Science", "id" : "ITEM-1", "issue" : "40014", "issued" : { "date-parts" : [ [ "2014", "3", "15" ] ] }, "page" : "1-6", "publisher" : "John Wiley &amp; Sons, Ltd", "title" : "Bio-oil from whole-tree feedstock in resol-type phenolic resins", "type" : "article-journal", "volume" : "131" }, "uris" : [ "http://www.mendeley.com/documents/?uuid=bdc6a6d0-1f72-3474-9939-c0e84f3530d6" ] } ], "mendeley" : { "formattedCitation" : "&lt;sup&gt;54&lt;/sup&gt;", "plainTextFormattedCitation" : "54", "previouslyFormattedCitation" : "&lt;sup&gt;54&lt;/sup&gt;" }, "properties" : {  }, "schema" : "https://github.com/citation-style-language/schema/raw/master/csl-citation.json" }</w:instrText>
      </w:r>
      <w:r w:rsidR="00A4451C" w:rsidRPr="00AC1A16">
        <w:fldChar w:fldCharType="separate"/>
      </w:r>
      <w:r w:rsidR="006838E0" w:rsidRPr="006838E0">
        <w:rPr>
          <w:noProof/>
          <w:vertAlign w:val="superscript"/>
        </w:rPr>
        <w:t>54</w:t>
      </w:r>
      <w:r w:rsidR="00A4451C" w:rsidRPr="00AC1A16">
        <w:fldChar w:fldCharType="end"/>
      </w:r>
      <w:r w:rsidRPr="00AC1A16">
        <w:t xml:space="preserve">. The </w:t>
      </w:r>
      <w:r w:rsidR="00614364" w:rsidRPr="00AC1A16">
        <w:t xml:space="preserve">apparent </w:t>
      </w:r>
      <w:r w:rsidRPr="00AC1A16">
        <w:t>viscosity was another parameter displaying a similar tendency to the density and the non-volatile content. Consequently, the values of the viscosity exhibited low values as well as compared with other similar phenolic resins reported in the</w:t>
      </w:r>
      <w:r w:rsidR="000026B6" w:rsidRPr="00AC1A16">
        <w:t xml:space="preserve"> literature</w:t>
      </w:r>
      <w:r w:rsidR="00A4451C" w:rsidRPr="00AC1A16">
        <w:fldChar w:fldCharType="begin" w:fldLock="1"/>
      </w:r>
      <w:r w:rsidR="006838E0">
        <w:instrText>ADDIN CSL_CITATION { "citationItems" : [ { "id" : "ITEM-1", "itemData" : { "DOI" : "10.3390/molecules22111850", "abstract" : "In this study bio-based bio-phenol-formaldehyde (BPF) resoles were prepared using hydrolytically depolymerized Kraft lignin (DKL) as bio-phenol to partially substitute phenol. The effects of phenol substitution ratio, weight-average molecular weight (Mw) of DKL and formaldehyde-to-phenol (F/P) ratio were also investigated to find the optimum curing temperature for BPF resoles. The results indicated that DKL with Mw ~ 1200 g/mol provides a curing temperature of less than 180 \u00b0C for any substitution level, provided that F/P ratios are controlled. Incorporation of lignin reduced the curing temperature of the resin, however, higher Mw DKL negatively affected the curing process. For any level of lignin Mw, the curing temperature was found to increase with lower F/P ratios at lower phenol substitution levels. At 25% and 50% phenol substitution, increasing the F/P ratio allows for synthesis of resoles with lower curing temperatures. Increasing the phenol substitution from 50% to 75% allows for a broader range of lignin Mw to attain low curing temperatures.", "author" : [ { "dropping-particle" : "", "family" : "Siddiqui", "given" : "Homaira", "non-dropping-particle" : "", "parse-names" : false, "suffix" : "" }, { "dropping-particle" : "", "family" : "Mahmood", "given" : "Nubla", "non-dropping-particle" : "", "parse-names" : false, "suffix" : "" }, { "dropping-particle" : "", "family" : "Yuan", "given" : "Zhongshun", "non-dropping-particle" : "", "parse-names" : false, "suffix" : "" }, { "dropping-particle" : "", "family" : "Crapulli", "given" : "Ferdinando", "non-dropping-particle" : "", "parse-names" : false, "suffix" : "" }, { "dropping-particle" : "", "family" : "Dessbesell", "given" : "Luana", "non-dropping-particle" : "", "parse-names" : false, "suffix" : "" }, { "dropping-particle" : "", "family" : "Rizkalla", "given" : "Amin", "non-dropping-particle" : "", "parse-names" : false, "suffix" : "" }, { "dropping-particle" : "", "family" : "Ray", "given" : "Ajay", "non-dropping-particle" : "", "parse-names" : false, "suffix" : "" }, { "dropping-particle" : "", "family" : "Xu", "given" : "Chunbao (Charles)", "non-dropping-particle" : "", "parse-names" : false, "suffix" : "" } ], "container-title" : "Molecules", "id" : "ITEM-1", "issue" : "11", "issued" : { "date-parts" : [ [ "2017", "10", "28" ] ] }, "page" : "1850", "publisher" : "Multidisciplinary Digital Publishing Institute", "title" : "Sustainable Bio-Based Phenol-Formaldehyde Resoles Using Hydrolytically Depolymerized Kraft Lignin", "type" : "article-journal", "volume" : "22" }, "uris" : [ "http://www.mendeley.com/documents/?uuid=dc8e1d3b-1b8c-357c-bf77-c2fa2d2da0b8" ] }, { "id" : "ITEM-2", "itemData" : { "abstract" : "In the present study, the main focus was the use of lignin isolated through an industrial waste (black liquor) to prepare phenolic-type resins. Thermal properties of control lignin-formaldehyde adhesive (RLF) and lignin \u2013glyoxal adhesive (RLG) have been investigated in detail. The effect of methylolation of lignin by formaldehyde and glyoxal have been studied using thermogravimetric analysis (TG) and differential scanning calorimetry (DSC). Methylolation has significant effect on the structure and the thermal stability of lignin. Rate of curing is enhanced by the type of curing agent and temperature.", "author" : [ { "dropping-particle" : "", "family" : "Ammar", "given" : "Mohamed", "non-dropping-particle" : "", "parse-names" : false, "suffix" : "" }, { "dropping-particle" : "", "family" : "Khiari", "given" : "Ramzi", "non-dropping-particle" : "", "parse-names" : false, "suffix" : "" }, { "dropping-particle" : "", "family" : "Belgacem", "given" : "Mohamed Naceur", "non-dropping-particle" : "", "parse-names" : false, "suffix" : "" }, { "dropping-particle" : "", "family" : "Elaloui", "given" : "Elimame", "non-dropping-particle" : "", "parse-names" : false, "suffix" : "" } ], "container-title" : "Mediterranean Journal of Chemistry", "id" : "ITEM-2", "issue" : "6", "issued" : { "date-parts" : [ [ "2014", "3", "20" ] ] }, "page" : "731-737", "title" : "Thermal characterization and comparisons of lignin-formaldehyde and lignin-glyoxal adhesives", "type" : "article-journal", "volume" : "2" }, "uris" : [ "http://www.mendeley.com/documents/?uuid=c3939173-0f29-3c0f-b3a8-65fe81e1b8e4" ] } ], "mendeley" : { "formattedCitation" : "&lt;sup&gt;55,56&lt;/sup&gt;", "plainTextFormattedCitation" : "55,56", "previouslyFormattedCitation" : "&lt;sup&gt;55,56&lt;/sup&gt;" }, "properties" : {  }, "schema" : "https://github.com/citation-style-language/schema/raw/master/csl-citation.json" }</w:instrText>
      </w:r>
      <w:r w:rsidR="00A4451C" w:rsidRPr="00AC1A16">
        <w:fldChar w:fldCharType="separate"/>
      </w:r>
      <w:r w:rsidR="006838E0" w:rsidRPr="006838E0">
        <w:rPr>
          <w:noProof/>
          <w:vertAlign w:val="superscript"/>
        </w:rPr>
        <w:t>55,56</w:t>
      </w:r>
      <w:r w:rsidR="00A4451C" w:rsidRPr="00AC1A16">
        <w:fldChar w:fldCharType="end"/>
      </w:r>
      <w:r w:rsidRPr="00AC1A16">
        <w:t>.</w:t>
      </w:r>
      <w:r w:rsidR="00AA05D4">
        <w:t xml:space="preserve"> Concerning the commercial products, significant differences were observed between</w:t>
      </w:r>
      <w:r w:rsidR="006838E0">
        <w:t xml:space="preserve"> some of</w:t>
      </w:r>
      <w:r w:rsidR="00AA05D4">
        <w:t xml:space="preserve"> the studied parameters. </w:t>
      </w:r>
      <w:r w:rsidR="0022379E">
        <w:t>T</w:t>
      </w:r>
      <w:r w:rsidR="00AA05D4">
        <w:t>he coating based on a two-phase polyurethane (Quidedur) displayed more similarities to the biobased resin formulations, than the waterborne based on acrylic resin (B77). This was especially evidenced in the case of the viscosity.</w:t>
      </w:r>
      <w:r w:rsidR="00371BC0">
        <w:t xml:space="preserve"> The coating Quidedur presented a viscosity within the range of the biobased resin formulation, whereas the coating B77 showed a range of viscosities considerably higher as provided by the supplier in the corresponding technical data sheet. This parameter is of relevant importance since it can influence the capacity of spreading the coating onto the wood surface and the penetration of the coating into the pores of wood</w:t>
      </w:r>
      <w:r w:rsidR="006838E0">
        <w:fldChar w:fldCharType="begin" w:fldLock="1"/>
      </w:r>
      <w:r w:rsidR="006838E0">
        <w:instrText>ADDIN CSL_CITATION { "citationItems" : [ { "id" : "ITEM-1", "itemData" : { "DOI" : "10.1007/BF00702791", "ISSN" : "00437719", "abstract" : "The penetration characteristics of five modern wood coatings (three waterborne, one high solid and one solvent borne) into pine sapwood, spruce and dark red meranti have been systematically compared. The degree of coating penetration is mainly determined by the ability of the coating to flow into wood capillaries. Binder type, pigmentation, solid matter content and drying speed appeared to influence this ability. In softwoods the following different coating penetration routes are observed: the flow into open ends of longitudinal early- and iatewood tracheids, the flow into ray cells and the transport from rays through the cross-field into longitudinal tracheids adjacent to rays. The possibility for the coating to follow the latter route is strongly influenced by the existing type of cross field pitting and to a lesser degree by the pigmentation of the paint. Clear differences between pine and spruce have been found with respect to the flow into ray parenchym and ray tracheids. The flow into open ends of longitudinal tracheids is strongly influenced by the grain angle of tracheids. Penetration into dark red meranti is mainly limited to vessels and rays. Tylose membranes can prevent the complete filling of vessels. The impact on penetration of the removal of extractives and of sanding of the surface has also been studied but appears to be of only minor importance.", "author" : [ { "dropping-particle" : "", "family" : "Meijer", "given" : "M.", "non-dropping-particle" : "De", "parse-names" : false, "suffix" : "" }, { "dropping-particle" : "", "family" : "Thurich", "given" : "K.", "non-dropping-particle" : "", "parse-names" : false, "suffix" : "" }, { "dropping-particle" : "", "family" : "Militz", "given" : "H.", "non-dropping-particle" : "", "parse-names" : false, "suffix" : "" } ], "container-title" : "Wood Science and Technology", "id" : "ITEM-1", "issue" : "5", "issued" : { "date-parts" : [ [ "1998" ] ] }, "page" : "347-365", "publisher" : "Springer Verlag", "title" : "Comparative study on penetration characteristics of modern wood coatings", "type" : "article-journal", "volume" : "32" }, "uris" : [ "http://www.mendeley.com/documents/?uuid=d106ce44-087e-398d-b0ba-5f4f40a61890" ] } ], "mendeley" : { "formattedCitation" : "&lt;sup&gt;57&lt;/sup&gt;", "plainTextFormattedCitation" : "57", "previouslyFormattedCitation" : "&lt;sup&gt;57&lt;/sup&gt;" }, "properties" : {  }, "schema" : "https://github.com/citation-style-language/schema/raw/master/csl-citation.json" }</w:instrText>
      </w:r>
      <w:r w:rsidR="006838E0">
        <w:fldChar w:fldCharType="separate"/>
      </w:r>
      <w:r w:rsidR="006838E0" w:rsidRPr="006838E0">
        <w:rPr>
          <w:noProof/>
          <w:vertAlign w:val="superscript"/>
        </w:rPr>
        <w:t>57</w:t>
      </w:r>
      <w:r w:rsidR="006838E0">
        <w:fldChar w:fldCharType="end"/>
      </w:r>
      <w:r w:rsidR="00371BC0">
        <w:t>. In respect to the pH and the percentage of non-volatile compounds (NVC)</w:t>
      </w:r>
      <w:r w:rsidR="007F37B2">
        <w:t>,</w:t>
      </w:r>
      <w:r w:rsidR="00371BC0">
        <w:t xml:space="preserve"> again the values of the c</w:t>
      </w:r>
      <w:r w:rsidR="007F37B2">
        <w:t>o</w:t>
      </w:r>
      <w:r w:rsidR="00371BC0">
        <w:t>ating Quidedur were closer to those of the biobased formulations</w:t>
      </w:r>
      <w:r w:rsidR="007F37B2">
        <w:t xml:space="preserve"> than the values of the coating B77. Nevertheless, in this case the differences were significantly lower than for the case of the viscosity. The biobased </w:t>
      </w:r>
      <w:r w:rsidR="007F37B2">
        <w:lastRenderedPageBreak/>
        <w:t>resins only presented a slightly higher amount of solids compared to the coating B77. Concerning the pH</w:t>
      </w:r>
      <w:r w:rsidR="006838E0">
        <w:t>,</w:t>
      </w:r>
      <w:r w:rsidR="007F37B2">
        <w:t xml:space="preserve"> all the </w:t>
      </w:r>
      <w:r w:rsidR="006838E0">
        <w:t>coating formulations</w:t>
      </w:r>
      <w:r w:rsidR="007F37B2">
        <w:t xml:space="preserve"> displayed alkaline values, being the biobased </w:t>
      </w:r>
      <w:r w:rsidR="006838E0">
        <w:t>one</w:t>
      </w:r>
      <w:r w:rsidR="007F37B2">
        <w:t>s within the range of both commercial coatings B77 (</w:t>
      </w:r>
      <w:r w:rsidR="007F37B2">
        <w:rPr>
          <w:rFonts w:cs="Times"/>
        </w:rPr>
        <w:t>≈</w:t>
      </w:r>
      <w:r w:rsidR="007F37B2">
        <w:t>8) and Quidedur (</w:t>
      </w:r>
      <w:r w:rsidR="007F37B2">
        <w:rPr>
          <w:rFonts w:cs="Times"/>
        </w:rPr>
        <w:t>≈</w:t>
      </w:r>
      <w:r w:rsidR="007F37B2">
        <w:t>9).</w:t>
      </w:r>
      <w:r w:rsidR="00B45CA1" w:rsidRPr="00AC1A16">
        <w:t xml:space="preserve"> </w:t>
      </w:r>
      <w:r w:rsidR="0022379E">
        <w:t>Considering that the biobased resins (mainly R</w:t>
      </w:r>
      <w:r w:rsidR="0022379E">
        <w:rPr>
          <w:vertAlign w:val="subscript"/>
        </w:rPr>
        <w:t>A</w:t>
      </w:r>
      <w:r w:rsidR="0022379E">
        <w:t xml:space="preserve"> and R</w:t>
      </w:r>
      <w:r w:rsidR="0022379E">
        <w:rPr>
          <w:vertAlign w:val="subscript"/>
        </w:rPr>
        <w:t>B</w:t>
      </w:r>
      <w:r w:rsidR="0022379E">
        <w:t xml:space="preserve">) and the commercial formulation Quidedur </w:t>
      </w:r>
      <w:r w:rsidR="00660042">
        <w:t>presented</w:t>
      </w:r>
      <w:r w:rsidR="0022379E">
        <w:t xml:space="preserve"> physical chemical parameters</w:t>
      </w:r>
      <w:r w:rsidR="00660042">
        <w:t xml:space="preserve"> within a narrow range</w:t>
      </w:r>
      <w:r w:rsidR="0022379E">
        <w:t>, they could be expected to display a similar behavior and compatibility towards wood.</w:t>
      </w:r>
      <w:r w:rsidR="00660042">
        <w:t xml:space="preserve"> This would be of significant relevance to achieve a comparable performance respecting the fire protection of wood.</w:t>
      </w:r>
    </w:p>
    <w:p w14:paraId="13320C50" w14:textId="0963246E" w:rsidR="00864E57" w:rsidRPr="00AC1A16" w:rsidRDefault="00864E57" w:rsidP="00874C80">
      <w:pPr>
        <w:pStyle w:val="VAFigureCaption"/>
      </w:pPr>
    </w:p>
    <w:p w14:paraId="597C4249" w14:textId="3A03DA4C" w:rsidR="003F033C" w:rsidRPr="00AC1A16" w:rsidRDefault="004067B3" w:rsidP="00874C80">
      <w:pPr>
        <w:pStyle w:val="TAMainText"/>
      </w:pPr>
      <w:r w:rsidRPr="00AC1A16">
        <w:t>C</w:t>
      </w:r>
      <w:r w:rsidR="001847DF" w:rsidRPr="00AC1A16">
        <w:t>haracterization of the coatings</w:t>
      </w:r>
    </w:p>
    <w:p w14:paraId="0F07CEED" w14:textId="40DA688E" w:rsidR="003F033C" w:rsidRPr="00AC1A16" w:rsidRDefault="001847DF" w:rsidP="00874C80">
      <w:pPr>
        <w:pStyle w:val="TAMainText"/>
      </w:pPr>
      <w:r w:rsidRPr="00AC1A16">
        <w:t>Fourier transformed infrared spectroscopy analysis (FTIR)</w:t>
      </w:r>
    </w:p>
    <w:p w14:paraId="399A1CDC" w14:textId="574FE7A8" w:rsidR="001847DF" w:rsidRPr="00AC1A16" w:rsidRDefault="00EE31E9" w:rsidP="00874C80">
      <w:pPr>
        <w:pStyle w:val="TAMainText"/>
      </w:pPr>
      <w:r w:rsidRPr="00AC1A16">
        <w:t>T</w:t>
      </w:r>
      <w:r w:rsidR="002913F2" w:rsidRPr="00AC1A16">
        <w:t>he chemical structure of the coatin</w:t>
      </w:r>
      <w:r w:rsidRPr="00AC1A16">
        <w:t xml:space="preserve">gs was analyzed and </w:t>
      </w:r>
      <w:r w:rsidR="002913F2" w:rsidRPr="00AC1A16">
        <w:t>the main linkages between the different components and the major functional gro</w:t>
      </w:r>
      <w:r w:rsidR="00E43184" w:rsidRPr="00AC1A16">
        <w:t>ups were elucidated. In figure 2</w:t>
      </w:r>
      <w:r w:rsidR="002913F2" w:rsidRPr="00AC1A16">
        <w:t>, the spectra of the individual components namely functionalized lignin and tannin, and that of the resins formulations are shown.</w:t>
      </w:r>
    </w:p>
    <w:p w14:paraId="6851F7B1" w14:textId="2CA98EC9" w:rsidR="001847DF" w:rsidRPr="00AC1A16" w:rsidRDefault="00643B80" w:rsidP="00E7058E">
      <w:pPr>
        <w:rPr>
          <w:rFonts w:ascii="Arial" w:hAnsi="Arial" w:cs="Arial"/>
        </w:rPr>
      </w:pPr>
      <w:r w:rsidRPr="00AC1A16">
        <w:rPr>
          <w:rFonts w:ascii="Arial" w:hAnsi="Arial" w:cs="Arial"/>
          <w:noProof/>
          <w:lang w:val="es-ES" w:eastAsia="es-ES"/>
        </w:rPr>
        <w:lastRenderedPageBreak/>
        <w:drawing>
          <wp:inline distT="0" distB="0" distL="0" distR="0" wp14:anchorId="7FD78FC1" wp14:editId="4F616084">
            <wp:extent cx="5400040" cy="4032250"/>
            <wp:effectExtent l="0" t="0" r="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2.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00040" cy="4032250"/>
                    </a:xfrm>
                    <a:prstGeom prst="rect">
                      <a:avLst/>
                    </a:prstGeom>
                  </pic:spPr>
                </pic:pic>
              </a:graphicData>
            </a:graphic>
          </wp:inline>
        </w:drawing>
      </w:r>
    </w:p>
    <w:p w14:paraId="2B981DFD" w14:textId="21F864BE" w:rsidR="001847DF" w:rsidRPr="00AC1A16" w:rsidRDefault="00E43184" w:rsidP="00874C80">
      <w:pPr>
        <w:pStyle w:val="VAFigureCaption"/>
      </w:pPr>
      <w:r w:rsidRPr="00AC1A16">
        <w:rPr>
          <w:b/>
        </w:rPr>
        <w:t>Figure 2</w:t>
      </w:r>
      <w:r w:rsidR="003E3037" w:rsidRPr="00AC1A16">
        <w:rPr>
          <w:b/>
        </w:rPr>
        <w:t>.</w:t>
      </w:r>
      <w:r w:rsidR="003E3037" w:rsidRPr="00AC1A16">
        <w:t xml:space="preserve"> Infrared spectra of the components (FL: functionalized lignin</w:t>
      </w:r>
      <w:r w:rsidR="00965FE7" w:rsidRPr="00AC1A16">
        <w:t>-(A) with Dellite 43B and (B) with Trisilanol POSS</w:t>
      </w:r>
      <w:r w:rsidR="003E3037" w:rsidRPr="00AC1A16">
        <w:t>, TM: mimosa tannin) and different resins formulations: a) formulation Reference, b) formulation R</w:t>
      </w:r>
      <w:r w:rsidR="003E3037" w:rsidRPr="00AC1A16">
        <w:rPr>
          <w:vertAlign w:val="subscript"/>
        </w:rPr>
        <w:t>A</w:t>
      </w:r>
      <w:r w:rsidR="003E3037" w:rsidRPr="00AC1A16">
        <w:t xml:space="preserve"> and c) formulation R</w:t>
      </w:r>
      <w:r w:rsidR="003E3037" w:rsidRPr="00AC1A16">
        <w:rPr>
          <w:vertAlign w:val="subscript"/>
        </w:rPr>
        <w:t>B</w:t>
      </w:r>
      <w:r w:rsidR="003E3037" w:rsidRPr="00AC1A16">
        <w:t>.</w:t>
      </w:r>
    </w:p>
    <w:p w14:paraId="05C340D7" w14:textId="26625FE1" w:rsidR="001847DF" w:rsidRPr="00AC1A16" w:rsidRDefault="003E3037" w:rsidP="00874C80">
      <w:pPr>
        <w:pStyle w:val="TAMainText"/>
      </w:pPr>
      <w:r w:rsidRPr="00AC1A16">
        <w:t xml:space="preserve">It was clear from the previous figure that the spectra of the cured resins (coatings) were greatly influenced by their components. Thus, the signals from the main groups of both the </w:t>
      </w:r>
      <w:r w:rsidR="00A968BF" w:rsidRPr="00AC1A16">
        <w:t>functionaliz</w:t>
      </w:r>
      <w:r w:rsidRPr="00AC1A16">
        <w:t>ed lignin and mimosa tannin were found in the cured resin spectra. The main signal was the one detected in the range 3500-3300 cm</w:t>
      </w:r>
      <w:r w:rsidRPr="00AC1A16">
        <w:rPr>
          <w:vertAlign w:val="superscript"/>
        </w:rPr>
        <w:t>-1</w:t>
      </w:r>
      <w:r w:rsidRPr="00AC1A16">
        <w:t xml:space="preserve"> (broad and strong) associated with the hydroxyl groups. This was expected since the polyphenolic resins synthesized displayed an abundance of hydroxyl groups. Between 3000-2900 cm</w:t>
      </w:r>
      <w:r w:rsidRPr="00AC1A16">
        <w:rPr>
          <w:vertAlign w:val="superscript"/>
        </w:rPr>
        <w:t>-1</w:t>
      </w:r>
      <w:r w:rsidRPr="00AC1A16">
        <w:t xml:space="preserve">, a medium-sharp band was seen related to the methyl and methylene groups. The mentioned signal is more prominent in the spectra the functionalized lignin than in the mimosa tannin since these units are more abundant within its structure. Consequently, it might be attributed to the lignin-derived fractions present within the resin structure. Nevertheless, </w:t>
      </w:r>
      <w:r w:rsidRPr="00AC1A16">
        <w:lastRenderedPageBreak/>
        <w:t>it could be also due to the reaction between lignin and tannin by means of methylene groups (-CH2 and –CH-) as proposed by Pizzi, 2016</w:t>
      </w:r>
      <w:r w:rsidR="00BE15F2" w:rsidRPr="00AC1A16">
        <w:fldChar w:fldCharType="begin" w:fldLock="1"/>
      </w:r>
      <w:r w:rsidR="006838E0">
        <w:instrText>ADDIN CSL_CITATION { "citationItems" : [ { "id" : "ITEM-1", "itemData" : { "author" : [ { "dropping-particle" : "", "family" : "Pizzi", "given" : "A.", "non-dropping-particle" : "", "parse-names" : false, "suffix" : "" } ], "container-title" : "Annals of Forest Science, Springer Verlag", "id" : "ITEM-1", "issue" : "1", "issued" : { "date-parts" : [ [ "2016" ] ] }, "page" : "185-23", "title" : "Wood products and green chemistry", "type" : "article-journal", "volume" : "73" }, "uris" : [ "http://www.mendeley.com/documents/?uuid=d65e5fd6-8510-33c4-89bc-4b4015b5cfdd" ] } ], "mendeley" : { "formattedCitation" : "&lt;sup&gt;58&lt;/sup&gt;", "plainTextFormattedCitation" : "58", "previouslyFormattedCitation" : "&lt;sup&gt;58&lt;/sup&gt;" }, "properties" : {  }, "schema" : "https://github.com/citation-style-language/schema/raw/master/csl-citation.json" }</w:instrText>
      </w:r>
      <w:r w:rsidR="00BE15F2" w:rsidRPr="00AC1A16">
        <w:fldChar w:fldCharType="separate"/>
      </w:r>
      <w:r w:rsidR="006838E0" w:rsidRPr="006838E0">
        <w:rPr>
          <w:noProof/>
          <w:vertAlign w:val="superscript"/>
        </w:rPr>
        <w:t>58</w:t>
      </w:r>
      <w:r w:rsidR="00BE15F2" w:rsidRPr="00AC1A16">
        <w:fldChar w:fldCharType="end"/>
      </w:r>
      <w:r w:rsidRPr="00AC1A16">
        <w:t>. He reported a mechanism for the reaction between tannins and glyoxalated lignin cur</w:t>
      </w:r>
      <w:r w:rsidR="00E43184" w:rsidRPr="00AC1A16">
        <w:t>ed by hexamine (figure 3</w:t>
      </w:r>
      <w:r w:rsidRPr="00AC1A16">
        <w:t>). The mentioned mechanism consisted of the faster reaction between tannins and hexamine, which were connected via C-N bonds. Then, glyoxalated lignin units were connected with the reacted tannins-hexamine moieties by means of intermediate methylene groups. Thus, in this case the presence of a significant signal in the resins, would confirm the reaction between both components (lignin and tannins).</w:t>
      </w:r>
    </w:p>
    <w:p w14:paraId="2E9B27FC" w14:textId="77777777" w:rsidR="003E3037" w:rsidRPr="00AC1A16" w:rsidRDefault="003E3037" w:rsidP="003E3037">
      <w:pPr>
        <w:spacing w:line="276" w:lineRule="auto"/>
        <w:jc w:val="center"/>
        <w:rPr>
          <w:rFonts w:ascii="Arial" w:hAnsi="Arial" w:cs="Arial"/>
        </w:rPr>
      </w:pPr>
      <w:r w:rsidRPr="00AC1A16">
        <w:rPr>
          <w:rFonts w:ascii="Arial" w:hAnsi="Arial" w:cs="Arial"/>
          <w:noProof/>
          <w:lang w:val="es-ES" w:eastAsia="es-ES"/>
        </w:rPr>
        <w:drawing>
          <wp:inline distT="0" distB="0" distL="0" distR="0" wp14:anchorId="73572A1F" wp14:editId="1F3C4510">
            <wp:extent cx="3623094" cy="297934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 49.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43992" cy="2996525"/>
                    </a:xfrm>
                    <a:prstGeom prst="rect">
                      <a:avLst/>
                    </a:prstGeom>
                  </pic:spPr>
                </pic:pic>
              </a:graphicData>
            </a:graphic>
          </wp:inline>
        </w:drawing>
      </w:r>
    </w:p>
    <w:p w14:paraId="1159CB03" w14:textId="779F0EBE" w:rsidR="003E3037" w:rsidRPr="00AC1A16" w:rsidRDefault="00E43184" w:rsidP="00874C80">
      <w:pPr>
        <w:pStyle w:val="VAFigureCaption"/>
      </w:pPr>
      <w:r w:rsidRPr="00AC1A16">
        <w:rPr>
          <w:b/>
        </w:rPr>
        <w:t>Figure 3</w:t>
      </w:r>
      <w:r w:rsidR="003E3037" w:rsidRPr="00AC1A16">
        <w:rPr>
          <w:b/>
        </w:rPr>
        <w:t>.</w:t>
      </w:r>
      <w:r w:rsidR="003E3037" w:rsidRPr="00AC1A16">
        <w:t xml:space="preserve"> Proposed mechanism of reaction between tannins and lignin in the resins formulations, as described in Pizzi, 2016</w:t>
      </w:r>
      <w:r w:rsidR="00BE15F2" w:rsidRPr="00AC1A16">
        <w:fldChar w:fldCharType="begin" w:fldLock="1"/>
      </w:r>
      <w:r w:rsidR="006838E0">
        <w:instrText>ADDIN CSL_CITATION { "citationItems" : [ { "id" : "ITEM-1", "itemData" : { "author" : [ { "dropping-particle" : "", "family" : "Pizzi", "given" : "A.", "non-dropping-particle" : "", "parse-names" : false, "suffix" : "" } ], "container-title" : "Annals of Forest Science, Springer Verlag", "id" : "ITEM-1", "issue" : "1", "issued" : { "date-parts" : [ [ "2016" ] ] }, "page" : "185-23", "title" : "Wood products and green chemistry", "type" : "article-journal", "volume" : "73" }, "uris" : [ "http://www.mendeley.com/documents/?uuid=d65e5fd6-8510-33c4-89bc-4b4015b5cfdd" ] } ], "mendeley" : { "formattedCitation" : "&lt;sup&gt;58&lt;/sup&gt;", "plainTextFormattedCitation" : "58", "previouslyFormattedCitation" : "&lt;sup&gt;58&lt;/sup&gt;" }, "properties" : {  }, "schema" : "https://github.com/citation-style-language/schema/raw/master/csl-citation.json" }</w:instrText>
      </w:r>
      <w:r w:rsidR="00BE15F2" w:rsidRPr="00AC1A16">
        <w:fldChar w:fldCharType="separate"/>
      </w:r>
      <w:r w:rsidR="006838E0" w:rsidRPr="006838E0">
        <w:rPr>
          <w:noProof/>
          <w:vertAlign w:val="superscript"/>
        </w:rPr>
        <w:t>58</w:t>
      </w:r>
      <w:r w:rsidR="00BE15F2" w:rsidRPr="00AC1A16">
        <w:fldChar w:fldCharType="end"/>
      </w:r>
      <w:r w:rsidR="003E3037" w:rsidRPr="00AC1A16">
        <w:t>.</w:t>
      </w:r>
    </w:p>
    <w:p w14:paraId="0C649243" w14:textId="38C7576A" w:rsidR="00643B80" w:rsidRPr="00AC1A16" w:rsidRDefault="003E3037" w:rsidP="00874C80">
      <w:pPr>
        <w:pStyle w:val="TAMainText"/>
      </w:pPr>
      <w:r w:rsidRPr="00AC1A16">
        <w:t>In the next range (1600-1400 cm</w:t>
      </w:r>
      <w:r w:rsidRPr="00AC1A16">
        <w:rPr>
          <w:vertAlign w:val="superscript"/>
        </w:rPr>
        <w:t>-1</w:t>
      </w:r>
      <w:r w:rsidRPr="00AC1A16">
        <w:t>), several peaks were detected characteristic from conjugated linkages from the aromatic rings. These peaks observed in the resins were associated with the multiple aromatic rings present within the structur</w:t>
      </w:r>
      <w:r w:rsidR="00A968BF" w:rsidRPr="00AC1A16">
        <w:t>e of both the lignin and tannin</w:t>
      </w:r>
      <w:r w:rsidRPr="00AC1A16">
        <w:t>. At 1370 cm</w:t>
      </w:r>
      <w:r w:rsidRPr="00AC1A16">
        <w:rPr>
          <w:vertAlign w:val="superscript"/>
        </w:rPr>
        <w:t>-1</w:t>
      </w:r>
      <w:r w:rsidRPr="00AC1A16">
        <w:t xml:space="preserve"> a medium-weak and broad signal can be seen in the resins spectra, related to the deformation of the O-H linkage. This was derived from the tannin fractions, which contain various phenolic groups attached to the flavan-3-ol moieties. In </w:t>
      </w:r>
      <w:r w:rsidRPr="00AC1A16">
        <w:lastRenderedPageBreak/>
        <w:t>fact, a similar medium and broad signal was observed in the spectra of the mimosa tannin. An important signal was detected at 1235 cm</w:t>
      </w:r>
      <w:r w:rsidRPr="00AC1A16">
        <w:rPr>
          <w:vertAlign w:val="superscript"/>
        </w:rPr>
        <w:t>-1</w:t>
      </w:r>
      <w:r w:rsidRPr="00AC1A16">
        <w:t xml:space="preserve"> attributed to the bond C-N from amine (blue circle), as described in the already-mentioned reaction mechanism. Besides, this assignment was in agreement with the work of Sumathirathne and Karunanayake, 2017 on the synthesis of tannin-phenol resins cured with h</w:t>
      </w:r>
      <w:r w:rsidR="000026B6" w:rsidRPr="00AC1A16">
        <w:t>examine</w:t>
      </w:r>
      <w:r w:rsidR="00BE15F2" w:rsidRPr="00AC1A16">
        <w:fldChar w:fldCharType="begin" w:fldLock="1"/>
      </w:r>
      <w:r w:rsidR="006838E0">
        <w:instrText>ADDIN CSL_CITATION { "citationItems" : [ { "id" : "ITEM-1", "itemData" : { "DOI" : "10.4038/jnsfsr.v45i3.8186", "abstract" : "&lt;p&gt;Natural tannins have a high affinity to absorb metal ions, proteins and some other biomolecules. In this study, tannins extracted from &lt;em&gt;Terminalia arjuna &lt;/em&gt;(Kumbuk) were used to synthesise renewable tannin-phenol-formaldehyde resin systems and a porous modified resin system. A series of resin systems was synthesised by varying the incorporated phenol content. The ion exchange capacities of the resins produced were studied and the resin with the highest ion exchange capacity was selected. It was sulfonated to increase the properties further. A monovalent cation, Na+ was used to estimate the adsorption properties of both sulfonated and unsulfonated resin systems. Solubility and swelling properties of the resins were measured to check their applicability as an ion exchanger in aqueous media at different pH values. Fourier transform infrared spectroscopy (FTIR) analysis was carried out to characterise the synthesised resins. Scanning electronic microscopic (SEM) images were obtained to study the morphology of the resins produced. Sulfonated tannin-phenolformaldehyde resin with the tannin/phenol ratio of 1:1 showed the highest adsorption capacity for the metal ion used (Na+), which was 1.552 meq/g.&lt;/p&gt;&lt;p&gt;To increase the surface area and to gain an efficient flow rate, a porous tannin-phenol-formaldehyde resin system was prepared. Synthesis was carried out using hexamethylenetetramine as both the cross linker and the catalyst. Coconut oil was used as the porogenic agent to create the porous structure through emulsion templating process. Synthesised porous resin contains \u03bcm and nm scale porous structures.&lt;/p&gt;", "author" : [ { "dropping-particle" : "", "family" : "Karunanayake", "given" : "L", "non-dropping-particle" : "", "parse-names" : false, "suffix" : "" }, { "dropping-particle" : "", "family" : "Sumathirathne", "given" : "LD", "non-dropping-particle" : "", "parse-names" : false, "suffix" : "" } ], "container-title" : "Journal of the National Science Foundation of Sri Lanka", "id" : "ITEM-1", "issue" : "3", "issued" : { "date-parts" : [ [ "2017", "9", "26" ] ] }, "page" : "219-227", "publisher" : "National Science Foundation of Sri Lanka", "title" : "Synthesis of novel porous tannin-phenol-formaldehyde cation exchange resin from Terminalia arjuna (Kumbuk)", "type" : "article-journal", "volume" : "45" }, "uris" : [ "http://www.mendeley.com/documents/?uuid=6a40c41e-a1eb-3bba-9670-01f98230814c" ] } ], "mendeley" : { "formattedCitation" : "&lt;sup&gt;59&lt;/sup&gt;", "plainTextFormattedCitation" : "59", "previouslyFormattedCitation" : "&lt;sup&gt;59&lt;/sup&gt;" }, "properties" : {  }, "schema" : "https://github.com/citation-style-language/schema/raw/master/csl-citation.json" }</w:instrText>
      </w:r>
      <w:r w:rsidR="00BE15F2" w:rsidRPr="00AC1A16">
        <w:fldChar w:fldCharType="separate"/>
      </w:r>
      <w:r w:rsidR="006838E0" w:rsidRPr="006838E0">
        <w:rPr>
          <w:noProof/>
          <w:vertAlign w:val="superscript"/>
        </w:rPr>
        <w:t>59</w:t>
      </w:r>
      <w:r w:rsidR="00BE15F2" w:rsidRPr="00AC1A16">
        <w:fldChar w:fldCharType="end"/>
      </w:r>
      <w:r w:rsidRPr="00AC1A16">
        <w:t>. They related the presence of a peak at 1239 cm</w:t>
      </w:r>
      <w:r w:rsidRPr="00AC1A16">
        <w:rPr>
          <w:vertAlign w:val="superscript"/>
        </w:rPr>
        <w:t>-1</w:t>
      </w:r>
      <w:r w:rsidRPr="00AC1A16">
        <w:t xml:space="preserve"> to the stretching of the C-N bond coupled with the stretching of other adjacent bonds in other molecules. This signal confirmed the curing reaction between the tannin fractions and hexamine </w:t>
      </w:r>
      <w:r w:rsidR="00BE15F2" w:rsidRPr="00AC1A16">
        <w:fldChar w:fldCharType="begin" w:fldLock="1"/>
      </w:r>
      <w:r w:rsidR="005A18FE">
        <w:instrText>ADDIN CSL_CITATION { "citationItems" : [ { "id" : "ITEM-1", "itemData" : { "DOI" : "10.1007/s00107-010-0423-0", "ISSN" : "0018-3768", "author" : [ { "dropping-particle" : "", "family" : "Mansouri", "given" : "H. R.", "non-dropping-particle" : "", "parse-names" : false, "suffix" : "" }, { "dropping-particle" : "", "family" : "Navarrete", "given" : "P.", "non-dropping-particle" : "", "parse-names" : false, "suffix" : "" }, { "dropping-particle" : "", "family" : "Pizzi", "given" : "A.", "non-dropping-particle" : "", "parse-names" : false, "suffix" : "" }, { "dropping-particle" : "", "family" : "Tapin-Lingua", "given" : "S.", "non-dropping-particle" : "", "parse-names" : false, "suffix" : "" }, { "dropping-particle" : "", "family" : "Benjelloun-Mlayah", "given" : "B.", "non-dropping-particle" : "", "parse-names" : false, "suffix" : "" }, { "dropping-particle" : "", "family" : "Pasch", "given" : "H.", "non-dropping-particle" : "", "parse-names" : false, "suffix" : "" }, { "dropping-particle" : "", "family" : "Rigolet", "given" : "S.", "non-dropping-particle" : "", "parse-names" : false, "suffix" : "" } ], "container-title" : "European Journal of Wood and Wood Products", "id" : "ITEM-1", "issue" : "2", "issued" : { "date-parts" : [ [ "2011", "5", "26" ] ] }, "page" : "221-229", "publisher" : "Springer-Verlag", "title" : "Synthetic-resin-free wood panel adhesives from mixed low molecular mass lignin and tannin", "type" : "article-journal", "volume" : "69" }, "uris" : [ "http://www.mendeley.com/documents/?uuid=1d1b6f3d-a2fd-3c52-8f3a-5d2f5a8ea820" ] } ], "mendeley" : { "formattedCitation" : "&lt;sup&gt;46&lt;/sup&gt;", "plainTextFormattedCitation" : "46", "previouslyFormattedCitation" : "&lt;sup&gt;46&lt;/sup&gt;" }, "properties" : {  }, "schema" : "https://github.com/citation-style-language/schema/raw/master/csl-citation.json" }</w:instrText>
      </w:r>
      <w:r w:rsidR="00BE15F2" w:rsidRPr="00AC1A16">
        <w:fldChar w:fldCharType="separate"/>
      </w:r>
      <w:r w:rsidR="005A18FE" w:rsidRPr="005A18FE">
        <w:rPr>
          <w:noProof/>
          <w:vertAlign w:val="superscript"/>
        </w:rPr>
        <w:t>46</w:t>
      </w:r>
      <w:r w:rsidR="00BE15F2" w:rsidRPr="00AC1A16">
        <w:fldChar w:fldCharType="end"/>
      </w:r>
      <w:r w:rsidRPr="00AC1A16">
        <w:t>. Another significant band was observed in the range 1150-900 cm</w:t>
      </w:r>
      <w:r w:rsidRPr="00AC1A16">
        <w:rPr>
          <w:vertAlign w:val="superscript"/>
        </w:rPr>
        <w:t>-1</w:t>
      </w:r>
      <w:r w:rsidRPr="00AC1A16">
        <w:t xml:space="preserve"> for the resins spectra. In this interval, different signals related to the C-O linkage were determined. The most significant contribution was that of C-O bonds derived from the primary and secondary alcohols present within the </w:t>
      </w:r>
      <w:r w:rsidR="00A968BF" w:rsidRPr="00AC1A16">
        <w:t>functionalized</w:t>
      </w:r>
      <w:r w:rsidRPr="00AC1A16">
        <w:t xml:space="preserve"> lignin structures. On the other hand, another contribution to the C-O band was that of the furan heterocycles of the flavan-3-ol units from the tannin fraction. Besides these contributions, in the mentioned interval there was also the signal of Si-O-Si stretching derived from the</w:t>
      </w:r>
      <w:r w:rsidR="00965FE7" w:rsidRPr="00AC1A16">
        <w:t xml:space="preserve"> inorganic parts of the</w:t>
      </w:r>
      <w:r w:rsidRPr="00AC1A16">
        <w:t xml:space="preserve"> structure of the functionalized lignins.</w:t>
      </w:r>
      <w:r w:rsidR="00965FE7" w:rsidRPr="00AC1A16">
        <w:t xml:space="preserve"> Between 900-400 cm</w:t>
      </w:r>
      <w:r w:rsidR="00965FE7" w:rsidRPr="00AC1A16">
        <w:rPr>
          <w:vertAlign w:val="superscript"/>
        </w:rPr>
        <w:t>-1</w:t>
      </w:r>
      <w:r w:rsidR="00965FE7" w:rsidRPr="00AC1A16">
        <w:t>, the signals detected corresponded only to the linkages and functional groups of the inorganic nanoparticles added during the synthesis of the resins (</w:t>
      </w:r>
      <w:r w:rsidR="00A968BF" w:rsidRPr="00AC1A16">
        <w:t>Delite 43B and Trisilanol POSS</w:t>
      </w:r>
      <w:r w:rsidR="00965FE7" w:rsidRPr="00AC1A16">
        <w:t xml:space="preserve">). The assignments for the above-mentioned signals detected in the different formulations of the resins are summarized and listed in table </w:t>
      </w:r>
      <w:r w:rsidR="00D6536F" w:rsidRPr="00AC1A16">
        <w:t>C</w:t>
      </w:r>
      <w:r w:rsidR="00965FE7" w:rsidRPr="00AC1A16">
        <w:t xml:space="preserve">1 in </w:t>
      </w:r>
      <w:r w:rsidR="00D6536F" w:rsidRPr="00AC1A16">
        <w:t>Appendix C</w:t>
      </w:r>
      <w:r w:rsidR="00965FE7" w:rsidRPr="00AC1A16">
        <w:t>.</w:t>
      </w:r>
    </w:p>
    <w:p w14:paraId="42C173C7" w14:textId="15E9EC5A" w:rsidR="00A968BF" w:rsidRPr="00AC1A16" w:rsidRDefault="00A968BF" w:rsidP="00874C80">
      <w:pPr>
        <w:pStyle w:val="TAMainText"/>
      </w:pPr>
      <w:r w:rsidRPr="00AC1A16">
        <w:t>Thermogravimetric analysis (TGA)</w:t>
      </w:r>
    </w:p>
    <w:p w14:paraId="128374A2" w14:textId="445F8962" w:rsidR="00A968BF" w:rsidRPr="00AC1A16" w:rsidRDefault="004067B3" w:rsidP="00874C80">
      <w:pPr>
        <w:pStyle w:val="TAMainText"/>
      </w:pPr>
      <w:r w:rsidRPr="00AC1A16">
        <w:t>This method was used as an approximate indicator of the actual thermal resistance of the cured resins. This could provide a</w:t>
      </w:r>
      <w:r w:rsidR="00951442">
        <w:t>n</w:t>
      </w:r>
      <w:r w:rsidRPr="00AC1A16">
        <w:t xml:space="preserve"> idea of the fireproofing performance of the coatings </w:t>
      </w:r>
      <w:r w:rsidR="00951442">
        <w:t>and of</w:t>
      </w:r>
      <w:r w:rsidR="00961F16">
        <w:t xml:space="preserve"> the effect achieved </w:t>
      </w:r>
      <w:r w:rsidR="00951442">
        <w:t>by</w:t>
      </w:r>
      <w:r w:rsidR="00961F16">
        <w:t xml:space="preserve"> the inorgan</w:t>
      </w:r>
      <w:r w:rsidR="00951442">
        <w:t>ic nanoparticles in the coati</w:t>
      </w:r>
      <w:r w:rsidR="00961F16">
        <w:t>n</w:t>
      </w:r>
      <w:r w:rsidR="00951442">
        <w:t>g formulations</w:t>
      </w:r>
      <w:r w:rsidR="00961F16">
        <w:t>.</w:t>
      </w:r>
      <w:r w:rsidRPr="00AC1A16">
        <w:t xml:space="preserve"> In figure </w:t>
      </w:r>
      <w:r w:rsidR="00E43184" w:rsidRPr="00AC1A16">
        <w:t>4</w:t>
      </w:r>
      <w:r w:rsidRPr="00AC1A16">
        <w:t xml:space="preserve">, the thermogravimetric and derivative thermogravimetric curves for the different cured resins formulations are displayed. </w:t>
      </w:r>
      <w:r w:rsidR="00E3612E" w:rsidRPr="00AC1A16">
        <w:t xml:space="preserve">Additionally the curves of the </w:t>
      </w:r>
      <w:r w:rsidR="00E3612E" w:rsidRPr="00AC1A16">
        <w:lastRenderedPageBreak/>
        <w:t xml:space="preserve">raw materials were added to </w:t>
      </w:r>
      <w:r w:rsidR="0070052E" w:rsidRPr="00AC1A16">
        <w:t>Appendix C2</w:t>
      </w:r>
      <w:r w:rsidR="00E3612E" w:rsidRPr="00AC1A16">
        <w:t xml:space="preserve"> of Supporting Information, with comparison purposes. </w:t>
      </w:r>
      <w:r w:rsidR="0070052E" w:rsidRPr="00AC1A16">
        <w:t xml:space="preserve">Here it was seen that the stages of degradation detected in the raw materials namely functionalized lignins and tannins, were found in the curves of the resin (especially detected in the case of DTG curves). </w:t>
      </w:r>
      <w:r w:rsidRPr="00AC1A16">
        <w:t xml:space="preserve">The degradation of the cured resins occurred through several steps. The first one (80-110 ºC) was </w:t>
      </w:r>
      <w:r w:rsidR="00951442">
        <w:t xml:space="preserve">majorly </w:t>
      </w:r>
      <w:r w:rsidRPr="00AC1A16">
        <w:t xml:space="preserve">attributed to the vaporization of the moisture </w:t>
      </w:r>
      <w:r w:rsidR="00951442">
        <w:t>from</w:t>
      </w:r>
      <w:r w:rsidR="00951442" w:rsidRPr="00AC1A16">
        <w:t xml:space="preserve"> </w:t>
      </w:r>
      <w:r w:rsidRPr="00AC1A16">
        <w:t>the</w:t>
      </w:r>
      <w:r w:rsidR="00660042">
        <w:t xml:space="preserve"> coatings in</w:t>
      </w:r>
      <w:r w:rsidRPr="00AC1A16">
        <w:t xml:space="preserve"> powder-state.</w:t>
      </w:r>
      <w:r w:rsidR="00E3612E" w:rsidRPr="00AC1A16">
        <w:t xml:space="preserve">. </w:t>
      </w:r>
      <w:r w:rsidRPr="00AC1A16">
        <w:t>Then main stage of degradation was located in the range of 295-300 ºC and represented 20% of the mass loss of the cured resins.</w:t>
      </w:r>
      <w:r w:rsidR="00F929B5">
        <w:t xml:space="preserve"> This stage was located between the main stages of degradation of the major constituents, namely mimosa tannins (</w:t>
      </w:r>
      <w:r w:rsidR="00F929B5">
        <w:rPr>
          <w:rFonts w:cs="Times"/>
        </w:rPr>
        <w:t>≈</w:t>
      </w:r>
      <w:r w:rsidR="00F929B5">
        <w:t>250ºC) and organosolv lignin (</w:t>
      </w:r>
      <w:r w:rsidR="00F929B5">
        <w:rPr>
          <w:rFonts w:cs="Times"/>
        </w:rPr>
        <w:t>≈</w:t>
      </w:r>
      <w:r w:rsidR="00F929B5">
        <w:t>400ºC) as showed in Appendix C2 of supporting information.</w:t>
      </w:r>
      <w:r w:rsidR="00241057">
        <w:t xml:space="preserve"> Accordingly, it would be related to the rupture of interunit linkages of the lignin fractions. Between lignin units C-C and </w:t>
      </w:r>
      <w:r w:rsidR="00FF6389" w:rsidRPr="00EA1A18">
        <w:rPr>
          <w:rFonts w:ascii="Symbol" w:hAnsi="Symbol"/>
        </w:rPr>
        <w:t></w:t>
      </w:r>
      <w:r w:rsidR="00FF6389">
        <w:t>-</w:t>
      </w:r>
      <w:r w:rsidR="00FF6389" w:rsidRPr="00EA1A18">
        <w:rPr>
          <w:rFonts w:ascii="Symbol" w:hAnsi="Symbol"/>
        </w:rPr>
        <w:t></w:t>
      </w:r>
      <w:r w:rsidR="00241057">
        <w:t xml:space="preserve"> bonds are reported to cleave between 275-350ºC</w:t>
      </w:r>
      <w:r w:rsidR="00FF6389">
        <w:fldChar w:fldCharType="begin" w:fldLock="1"/>
      </w:r>
      <w:r w:rsidR="00FF6389">
        <w:instrText>ADDIN CSL_CITATION { "citationItems" : [ { "id" : "ITEM-1", "itemData" : { "ISSN" : "0576-9787", "author" : [ { "dropping-particle" : "", "family" : "Brebu", "given" : "Mihai", "non-dropping-particle" : "", "parse-names" : false, "suffix" : "" }, { "dropping-particle" : "", "family" : "Vasile", "given" : "Cornelia", "non-dropping-particle" : "", "parse-names" : false, "suffix" : "" } ], "container-title" : "Cellulose Chemistry &amp; Technology", "id" : "ITEM-1", "issue" : "9", "issued" : { "date-parts" : [ [ "2010" ] ] }, "page" : "353", "title" : "Thermal degradation of lignin\u2014a review", "type" : "article-journal", "volume" : "44" }, "uris" : [ "http://www.mendeley.com/documents/?uuid=40208eec-103f-3e32-9a6c-637d6a7b4258" ] } ], "mendeley" : { "formattedCitation" : "&lt;sup&gt;60&lt;/sup&gt;", "plainTextFormattedCitation" : "60", "previouslyFormattedCitation" : "&lt;sup&gt;60&lt;/sup&gt;" }, "properties" : {  }, "schema" : "https://github.com/citation-style-language/schema/raw/master/csl-citation.json" }</w:instrText>
      </w:r>
      <w:r w:rsidR="00FF6389">
        <w:fldChar w:fldCharType="separate"/>
      </w:r>
      <w:r w:rsidR="00FF6389" w:rsidRPr="00FF6389">
        <w:rPr>
          <w:noProof/>
          <w:vertAlign w:val="superscript"/>
        </w:rPr>
        <w:t>60</w:t>
      </w:r>
      <w:r w:rsidR="00FF6389">
        <w:fldChar w:fldCharType="end"/>
      </w:r>
      <w:r w:rsidR="00241057">
        <w:t xml:space="preserve">. Furthermore, this stage would be also associated with the break of </w:t>
      </w:r>
      <w:r w:rsidR="00FF6389">
        <w:t>tannins units</w:t>
      </w:r>
      <w:r w:rsidR="003B6F8D">
        <w:t>.</w:t>
      </w:r>
      <w:r w:rsidRPr="00AC1A16">
        <w:t xml:space="preserve"> Following this stage, two other degradation steps (≈10% weight loss) were detected between 350-370 ºC and 475-485 ºC respectively.</w:t>
      </w:r>
    </w:p>
    <w:p w14:paraId="581E2E70" w14:textId="77777777" w:rsidR="004067B3" w:rsidRPr="00AC1A16" w:rsidRDefault="004067B3" w:rsidP="004067B3">
      <w:pPr>
        <w:spacing w:line="276" w:lineRule="auto"/>
        <w:jc w:val="center"/>
        <w:rPr>
          <w:rFonts w:ascii="Arial" w:hAnsi="Arial" w:cs="Arial"/>
        </w:rPr>
      </w:pPr>
      <w:r w:rsidRPr="00AC1A16">
        <w:rPr>
          <w:rFonts w:ascii="Arial" w:hAnsi="Arial" w:cs="Arial"/>
          <w:noProof/>
          <w:lang w:val="es-ES" w:eastAsia="es-ES"/>
        </w:rPr>
        <w:drawing>
          <wp:inline distT="0" distB="0" distL="0" distR="0" wp14:anchorId="4E6652C1" wp14:editId="72D6C7C4">
            <wp:extent cx="3795623" cy="2581627"/>
            <wp:effectExtent l="0" t="0" r="0" b="508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 50.tif"/>
                    <pic:cNvPicPr/>
                  </pic:nvPicPr>
                  <pic:blipFill rotWithShape="1">
                    <a:blip r:embed="rId12" cstate="print">
                      <a:extLst>
                        <a:ext uri="{28A0092B-C50C-407E-A947-70E740481C1C}">
                          <a14:useLocalDpi xmlns:a14="http://schemas.microsoft.com/office/drawing/2010/main" val="0"/>
                        </a:ext>
                      </a:extLst>
                    </a:blip>
                    <a:srcRect l="8947" t="8195" r="3647" b="7094"/>
                    <a:stretch/>
                  </pic:blipFill>
                  <pic:spPr bwMode="auto">
                    <a:xfrm>
                      <a:off x="0" y="0"/>
                      <a:ext cx="3795623" cy="2581627"/>
                    </a:xfrm>
                    <a:prstGeom prst="rect">
                      <a:avLst/>
                    </a:prstGeom>
                    <a:ln>
                      <a:noFill/>
                    </a:ln>
                    <a:extLst>
                      <a:ext uri="{53640926-AAD7-44D8-BBD7-CCE9431645EC}">
                        <a14:shadowObscured xmlns:a14="http://schemas.microsoft.com/office/drawing/2010/main"/>
                      </a:ext>
                    </a:extLst>
                  </pic:spPr>
                </pic:pic>
              </a:graphicData>
            </a:graphic>
          </wp:inline>
        </w:drawing>
      </w:r>
    </w:p>
    <w:p w14:paraId="18E85263" w14:textId="3BB68ADB" w:rsidR="004067B3" w:rsidRPr="00AC1A16" w:rsidRDefault="004067B3" w:rsidP="00874C80">
      <w:pPr>
        <w:pStyle w:val="VAFigureCaption"/>
      </w:pPr>
      <w:r w:rsidRPr="00AC1A16">
        <w:rPr>
          <w:b/>
        </w:rPr>
        <w:t xml:space="preserve">Figure </w:t>
      </w:r>
      <w:r w:rsidR="00E43184" w:rsidRPr="00AC1A16">
        <w:rPr>
          <w:b/>
        </w:rPr>
        <w:t>4</w:t>
      </w:r>
      <w:r w:rsidRPr="00AC1A16">
        <w:rPr>
          <w:b/>
        </w:rPr>
        <w:t>.</w:t>
      </w:r>
      <w:r w:rsidRPr="00AC1A16">
        <w:t xml:space="preserve"> Curves of the thermal analysis of the different resin formulations cured (coatings).</w:t>
      </w:r>
    </w:p>
    <w:p w14:paraId="3FC17E59" w14:textId="1D3A4DE8" w:rsidR="004067B3" w:rsidRDefault="004067B3" w:rsidP="00874C80">
      <w:pPr>
        <w:pStyle w:val="TAMainText"/>
      </w:pPr>
      <w:r w:rsidRPr="00AC1A16">
        <w:lastRenderedPageBreak/>
        <w:t xml:space="preserve">The previous degradation stages occurred at temperatures similar to those reported in </w:t>
      </w:r>
      <w:r w:rsidR="00BE15F2" w:rsidRPr="00AC1A16">
        <w:t>a</w:t>
      </w:r>
      <w:r w:rsidRPr="00AC1A16">
        <w:t xml:space="preserve"> previous work for t</w:t>
      </w:r>
      <w:r w:rsidR="000026B6" w:rsidRPr="00AC1A16">
        <w:t>he functionalized lignins alone</w:t>
      </w:r>
      <w:r w:rsidR="00BE15F2" w:rsidRPr="00AC1A16">
        <w:fldChar w:fldCharType="begin" w:fldLock="1"/>
      </w:r>
      <w:r w:rsidR="005A18FE">
        <w:instrText>ADDIN CSL_CITATION { "citationItems" : [ { "id" : "ITEM-1", "itemData" : { "DOI" : "10.1021/acs.biomac.9b00799", "ISSN" : "1525-7797", "author" : [ { "dropping-particle" : "", "family" : "Hoyos-Mart\u00ednez", "given" : "Pedro L.", "non-dropping-particle" : "de", "parse-names" : false, "suffix" : "" }, { "dropping-particle" : "", "family" : "Robles", "given" : "Eduardo", "non-dropping-particle" : "", "parse-names" : false, "suffix" : "" }, { "dropping-particle" : "", "family" : "Khoukh", "given" : "Abdel", "non-dropping-particle" : "", "parse-names" : false, "suffix" : "" }, { "dropping-particle" : "", "family" : "Charrier-El Bouhtoury", "given" : "Fatima", "non-dropping-particle" : "", "parse-names" : false, "suffix" : "" }, { "dropping-particle" : "", "family" : "Labidi", "given" : "Jalel", "non-dropping-particle" : "", "parse-names" : false, "suffix" : "" } ], "container-title" : "Biomacromolecules", "id" : "ITEM-1", "issue" : "9", "issued" : { "date-parts" : [ [ "2019", "9", "9" ] ] }, "page" : "3535-3546", "title" : "Formulation of Multifunctional Materials Based on the Reaction of Glyoxalated Lignins and a Nanoclay/Nanosilicate", "type" : "article-journal", "volume" : "20" }, "uris" : [ "http://www.mendeley.com/documents/?uuid=1dffa542-6514-3de7-9a2f-862158251c7e" ] } ], "mendeley" : { "formattedCitation" : "&lt;sup&gt;48&lt;/sup&gt;", "plainTextFormattedCitation" : "48", "previouslyFormattedCitation" : "&lt;sup&gt;48&lt;/sup&gt;" }, "properties" : {  }, "schema" : "https://github.com/citation-style-language/schema/raw/master/csl-citation.json" }</w:instrText>
      </w:r>
      <w:r w:rsidR="00BE15F2" w:rsidRPr="00AC1A16">
        <w:fldChar w:fldCharType="separate"/>
      </w:r>
      <w:r w:rsidR="005A18FE" w:rsidRPr="005A18FE">
        <w:rPr>
          <w:noProof/>
          <w:vertAlign w:val="superscript"/>
        </w:rPr>
        <w:t>48</w:t>
      </w:r>
      <w:r w:rsidR="00BE15F2" w:rsidRPr="00AC1A16">
        <w:fldChar w:fldCharType="end"/>
      </w:r>
      <w:r w:rsidRPr="00AC1A16">
        <w:t>. Nevertheless, in this case of the cured resins the</w:t>
      </w:r>
      <w:r w:rsidR="0058053A">
        <w:t xml:space="preserve"> percentage of weight</w:t>
      </w:r>
      <w:r w:rsidRPr="00AC1A16">
        <w:t xml:space="preserve"> loss </w:t>
      </w:r>
      <w:r w:rsidR="0058053A">
        <w:t>associated with each stage,</w:t>
      </w:r>
      <w:r w:rsidRPr="00AC1A16">
        <w:t xml:space="preserve"> was considerably reduced compared with that of the modified lignins alone</w:t>
      </w:r>
      <w:r w:rsidR="00373C6E">
        <w:t xml:space="preserve"> (Appendix C2 of supporting information)</w:t>
      </w:r>
      <w:r w:rsidRPr="00AC1A16">
        <w:t xml:space="preserve">. This </w:t>
      </w:r>
      <w:r w:rsidR="0058053A">
        <w:t>corroborates the presence of a</w:t>
      </w:r>
      <w:r w:rsidR="0058053A" w:rsidRPr="00AC1A16">
        <w:t xml:space="preserve"> </w:t>
      </w:r>
      <w:r w:rsidRPr="00AC1A16">
        <w:t>polymeric structure</w:t>
      </w:r>
      <w:r w:rsidR="0058053A">
        <w:t xml:space="preserve"> of</w:t>
      </w:r>
      <w:r w:rsidR="0058053A" w:rsidRPr="00AC1A16">
        <w:t xml:space="preserve"> greater thermal resistance than </w:t>
      </w:r>
      <w:r w:rsidR="0058053A">
        <w:t>that of it constituents alone, which would have been built</w:t>
      </w:r>
      <w:r w:rsidRPr="00AC1A16">
        <w:t>during the curing of the resins. Thereby, it would be confirmed the reaction of the lignin with the tannin and the curing agent</w:t>
      </w:r>
      <w:r w:rsidR="00643B80" w:rsidRPr="00AC1A16">
        <w:t>. In table 3</w:t>
      </w:r>
      <w:r w:rsidRPr="00AC1A16">
        <w:t>, the main parameters determined from the analysis are presented.</w:t>
      </w:r>
      <w:r w:rsidR="00643B80" w:rsidRPr="00AC1A16">
        <w:t xml:space="preserve"> I</w:t>
      </w:r>
      <w:r w:rsidR="009D6B14" w:rsidRPr="00AC1A16">
        <w:t xml:space="preserve">t was seen that the stages of degradation occurred within a narrow range of temperature in the different formulations of the coatings. However, the mass loss had a different development among the different cured resins. It was seen in table </w:t>
      </w:r>
      <w:r w:rsidR="0058053A">
        <w:t>3</w:t>
      </w:r>
      <w:r w:rsidR="009D6B14" w:rsidRPr="00AC1A16">
        <w:t xml:space="preserve"> and figure </w:t>
      </w:r>
      <w:r w:rsidR="0058053A">
        <w:t>4</w:t>
      </w:r>
      <w:r w:rsidR="009D6B14" w:rsidRPr="00AC1A16">
        <w:t xml:space="preserve"> that the loss of mass started to diverge between the resins</w:t>
      </w:r>
      <w:r w:rsidR="0058053A">
        <w:t xml:space="preserve"> formulations as the temperature increased</w:t>
      </w:r>
      <w:r w:rsidR="009D6B14" w:rsidRPr="00AC1A16">
        <w:t>, especially for R</w:t>
      </w:r>
      <w:r w:rsidR="009D6B14" w:rsidRPr="00AC1A16">
        <w:rPr>
          <w:vertAlign w:val="subscript"/>
        </w:rPr>
        <w:t>A</w:t>
      </w:r>
      <w:r w:rsidR="009D6B14" w:rsidRPr="00AC1A16">
        <w:t xml:space="preserve"> and R</w:t>
      </w:r>
      <w:r w:rsidR="009D6B14" w:rsidRPr="00AC1A16">
        <w:rPr>
          <w:vertAlign w:val="subscript"/>
        </w:rPr>
        <w:t>B</w:t>
      </w:r>
      <w:r w:rsidR="0058053A">
        <w:t xml:space="preserve"> compared to Reference</w:t>
      </w:r>
      <w:r w:rsidR="009D6B14" w:rsidRPr="00AC1A16">
        <w:t>. Consequently, slight differences were regarded concerning T</w:t>
      </w:r>
      <w:r w:rsidR="009D6B14" w:rsidRPr="00AC1A16">
        <w:rPr>
          <w:vertAlign w:val="subscript"/>
        </w:rPr>
        <w:t>10%</w:t>
      </w:r>
      <w:r w:rsidR="009D6B14" w:rsidRPr="00AC1A16">
        <w:t>, whereas considerable differences were encountered in the temperature at which the resins had lost half of their mass (T</w:t>
      </w:r>
      <w:r w:rsidR="009D6B14" w:rsidRPr="00AC1A16">
        <w:rPr>
          <w:vertAlign w:val="subscript"/>
        </w:rPr>
        <w:t>50%</w:t>
      </w:r>
      <w:r w:rsidR="009D6B14" w:rsidRPr="00AC1A16">
        <w:t>). Besides, the residue remaining after thermal degradation was slightly higher in</w:t>
      </w:r>
      <w:r w:rsidR="0058053A">
        <w:t xml:space="preserve"> </w:t>
      </w:r>
      <w:r w:rsidR="0058053A" w:rsidRPr="00AC1A16">
        <w:t>R</w:t>
      </w:r>
      <w:r w:rsidR="0058053A" w:rsidRPr="00AC1A16">
        <w:rPr>
          <w:vertAlign w:val="subscript"/>
        </w:rPr>
        <w:t>A</w:t>
      </w:r>
      <w:r w:rsidR="0058053A" w:rsidRPr="00AC1A16">
        <w:t xml:space="preserve"> and R</w:t>
      </w:r>
      <w:r w:rsidR="0058053A" w:rsidRPr="00AC1A16">
        <w:rPr>
          <w:vertAlign w:val="subscript"/>
        </w:rPr>
        <w:t>B</w:t>
      </w:r>
      <w:r w:rsidR="009D6B14" w:rsidRPr="00AC1A16">
        <w:t xml:space="preserve"> formulations as well. All these results were attributed to the fact that formulations R</w:t>
      </w:r>
      <w:r w:rsidR="009D6B14" w:rsidRPr="00AC1A16">
        <w:rPr>
          <w:vertAlign w:val="subscript"/>
        </w:rPr>
        <w:t>A</w:t>
      </w:r>
      <w:r w:rsidR="009D6B14" w:rsidRPr="00AC1A16">
        <w:t xml:space="preserve"> and R</w:t>
      </w:r>
      <w:r w:rsidR="009D6B14" w:rsidRPr="00AC1A16">
        <w:rPr>
          <w:vertAlign w:val="subscript"/>
        </w:rPr>
        <w:t>B</w:t>
      </w:r>
      <w:r w:rsidR="009D6B14" w:rsidRPr="00AC1A16">
        <w:t xml:space="preserve"> had</w:t>
      </w:r>
      <w:r w:rsidR="0058053A">
        <w:t xml:space="preserve"> </w:t>
      </w:r>
      <w:r w:rsidR="0058053A" w:rsidRPr="00AC1A16">
        <w:t>within their structure</w:t>
      </w:r>
      <w:r w:rsidR="009D6B14" w:rsidRPr="00AC1A16">
        <w:t xml:space="preserve"> Dellite 43B and Trisilanol POSS respectively. These inorganic compounds are widely reported to provide a synergic effect regarding the flame-retardancy and thermal resistance</w:t>
      </w:r>
      <w:r w:rsidR="00BE15F2" w:rsidRPr="00AC1A16">
        <w:fldChar w:fldCharType="begin" w:fldLock="1"/>
      </w:r>
      <w:r w:rsidR="00FF6389">
        <w:instrText>ADDIN CSL_CITATION { "citationItems" : [ { "id" : "ITEM-1", "itemData" : { "DOI" : "10.1002/pat.1502", "ISSN" : "10427147", "author" : [ { "dropping-particle" : "", "family" : "Liu", "given" : "Yun", "non-dropping-particle" : "", "parse-names" : false, "suffix" : "" }, { "dropping-particle" : "", "family" : "Wang", "given" : "Jun-Sheng", "non-dropping-particle" : "", "parse-names" : false, "suffix" : "" }, { "dropping-particle" : "", "family" : "Deng", "given" : "Cheng-Liang", "non-dropping-particle" : "", "parse-names" : false, "suffix" : "" }, { "dropping-particle" : "", "family" : "Wang", "given" : "De-Yi", "non-dropping-particle" : "", "parse-names" : false, "suffix" : "" }, { "dropping-particle" : "", "family" : "Song", "given" : "Yan-Peng", "non-dropping-particle" : "", "parse-names" : false, "suffix" : "" }, { "dropping-particle" : "", "family" : "Wang", "given" : "Yu-Zhong", "non-dropping-particle" : "", "parse-names" : false, "suffix" : "" } ], "container-title" : "Polymers for Advanced Technologies", "id" : "ITEM-1", "issue" : "11", "issued" : { "date-parts" : [ [ "2010", "11", "1" ] ] }, "page" : "789-796", "publisher" : "John Wiley &amp; Sons, Ltd", "title" : "The synergistic flame-retardant effect of O-MMT on the intumescent flame-retardant PP/CA/APP systems", "type" : "article-journal", "volume" : "21" }, "uris" : [ "http://www.mendeley.com/documents/?uuid=86165728-a445-3ef1-ac01-2f5fb5ab4603" ] }, { "id" : "ITEM-2", "itemData" : { "DOI" : "10.1039/C5RA13609A", "ISSN" : "2046-2069", "abstract" : "&lt;p&gt;A facile strategy for the synthesis of binary fumed silica\u2013POSS nanofillers based nanocomposite membranes was developed.&lt;/p&gt;", "author" : [ { "dropping-particle" : "", "family" : "Rezakazemi", "given" : "Mashallah", "non-dropping-particle" : "", "parse-names" : false, "suffix" : "" }, { "dropping-particle" : "", "family" : "Vatani", "given" : "Ali", "non-dropping-particle" : "", "parse-names" : false, "suffix" : "" }, { "dropping-particle" : "", "family" : "Mohammadi", "given" : "Toraj", "non-dropping-particle" : "", "parse-names" : false, "suffix" : "" } ], "container-title" : "RSC Advances", "id" : "ITEM-2", "issue" : "100", "issued" : { "date-parts" : [ [ "2015", "9", "29" ] ] }, "page" : "82460-82470", "publisher" : "Royal Society of Chemistry", "title" : "Synergistic interactions between POSS and fumed silica and their effect on the properties of crosslinked PDMS nanocomposite membranes", "type" : "article-journal", "volume" : "5" }, "uris" : [ "http://www.mendeley.com/documents/?uuid=be7306f1-5943-3b72-ac74-00291ffc6bde" ] } ], "mendeley" : { "formattedCitation" : "&lt;sup&gt;61,62&lt;/sup&gt;", "plainTextFormattedCitation" : "61,62", "previouslyFormattedCitation" : "&lt;sup&gt;61,62&lt;/sup&gt;" }, "properties" : {  }, "schema" : "https://github.com/citation-style-language/schema/raw/master/csl-citation.json" }</w:instrText>
      </w:r>
      <w:r w:rsidR="00BE15F2" w:rsidRPr="00AC1A16">
        <w:fldChar w:fldCharType="separate"/>
      </w:r>
      <w:r w:rsidR="00FF6389" w:rsidRPr="00FF6389">
        <w:rPr>
          <w:noProof/>
          <w:vertAlign w:val="superscript"/>
        </w:rPr>
        <w:t>61,62</w:t>
      </w:r>
      <w:r w:rsidR="00BE15F2" w:rsidRPr="00AC1A16">
        <w:fldChar w:fldCharType="end"/>
      </w:r>
      <w:r w:rsidR="009779EA">
        <w:t>.</w:t>
      </w:r>
    </w:p>
    <w:p w14:paraId="60CB71F4" w14:textId="0063ABC3" w:rsidR="009779EA" w:rsidRDefault="009779EA" w:rsidP="00874C80">
      <w:pPr>
        <w:pStyle w:val="TAMainText"/>
      </w:pPr>
    </w:p>
    <w:p w14:paraId="0AC10028" w14:textId="099EB591" w:rsidR="009779EA" w:rsidRDefault="009779EA" w:rsidP="00874C80">
      <w:pPr>
        <w:pStyle w:val="TAMainText"/>
      </w:pPr>
    </w:p>
    <w:p w14:paraId="28A82650" w14:textId="1BCC773C" w:rsidR="009779EA" w:rsidRDefault="009779EA" w:rsidP="00874C80">
      <w:pPr>
        <w:pStyle w:val="TAMainText"/>
      </w:pPr>
    </w:p>
    <w:p w14:paraId="0E06FEEF" w14:textId="77777777" w:rsidR="009779EA" w:rsidRPr="00AC1A16" w:rsidRDefault="009779EA" w:rsidP="00874C80">
      <w:pPr>
        <w:pStyle w:val="TAMainText"/>
      </w:pPr>
    </w:p>
    <w:p w14:paraId="60B23DF2" w14:textId="16A810CB" w:rsidR="00643B80" w:rsidRPr="00AC1A16" w:rsidRDefault="00643B80" w:rsidP="00874C80">
      <w:pPr>
        <w:pStyle w:val="VDTableTitle"/>
      </w:pPr>
      <w:r w:rsidRPr="00AC1A16">
        <w:rPr>
          <w:b/>
        </w:rPr>
        <w:lastRenderedPageBreak/>
        <w:t>Table 3.</w:t>
      </w:r>
      <w:r w:rsidRPr="00AC1A16">
        <w:t xml:space="preserve"> Thermogravimetric parameters determined for the different formulations of the cured resins.</w:t>
      </w:r>
    </w:p>
    <w:tbl>
      <w:tblPr>
        <w:tblStyle w:val="Sombreadoclaro1"/>
        <w:tblW w:w="8227" w:type="dxa"/>
        <w:tblLayout w:type="fixed"/>
        <w:tblLook w:val="04A0" w:firstRow="1" w:lastRow="0" w:firstColumn="1" w:lastColumn="0" w:noHBand="0" w:noVBand="1"/>
      </w:tblPr>
      <w:tblGrid>
        <w:gridCol w:w="1515"/>
        <w:gridCol w:w="901"/>
        <w:gridCol w:w="986"/>
        <w:gridCol w:w="998"/>
        <w:gridCol w:w="956"/>
        <w:gridCol w:w="957"/>
        <w:gridCol w:w="957"/>
        <w:gridCol w:w="957"/>
      </w:tblGrid>
      <w:tr w:rsidR="00AC1A16" w:rsidRPr="00AC1A16" w14:paraId="1F2D0ADE" w14:textId="77777777" w:rsidTr="00874C80">
        <w:trPr>
          <w:cnfStyle w:val="100000000000" w:firstRow="1" w:lastRow="0" w:firstColumn="0" w:lastColumn="0" w:oddVBand="0" w:evenVBand="0" w:oddHBand="0" w:evenHBand="0" w:firstRowFirstColumn="0" w:firstRowLastColumn="0" w:lastRowFirstColumn="0" w:lastRowLastColumn="0"/>
          <w:trHeight w:val="611"/>
        </w:trPr>
        <w:tc>
          <w:tcPr>
            <w:cnfStyle w:val="001000000000" w:firstRow="0" w:lastRow="0" w:firstColumn="1" w:lastColumn="0" w:oddVBand="0" w:evenVBand="0" w:oddHBand="0" w:evenHBand="0" w:firstRowFirstColumn="0" w:firstRowLastColumn="0" w:lastRowFirstColumn="0" w:lastRowLastColumn="0"/>
            <w:tcW w:w="1515" w:type="dxa"/>
            <w:shd w:val="clear" w:color="auto" w:fill="auto"/>
            <w:vAlign w:val="center"/>
          </w:tcPr>
          <w:p w14:paraId="30FF6A32" w14:textId="77777777" w:rsidR="00643B80" w:rsidRPr="00AC1A16" w:rsidRDefault="00643B80" w:rsidP="00874C80">
            <w:pPr>
              <w:pStyle w:val="TCTableBody"/>
              <w:rPr>
                <w:b w:val="0"/>
                <w:color w:val="auto"/>
              </w:rPr>
            </w:pPr>
            <w:r w:rsidRPr="00AC1A16">
              <w:rPr>
                <w:b w:val="0"/>
                <w:color w:val="auto"/>
              </w:rPr>
              <w:t>Formulations</w:t>
            </w:r>
          </w:p>
        </w:tc>
        <w:tc>
          <w:tcPr>
            <w:tcW w:w="901" w:type="dxa"/>
            <w:shd w:val="clear" w:color="auto" w:fill="auto"/>
            <w:vAlign w:val="center"/>
          </w:tcPr>
          <w:p w14:paraId="5199CE9D" w14:textId="77777777" w:rsidR="00643B80" w:rsidRPr="00AC1A16" w:rsidRDefault="00643B80" w:rsidP="00874C80">
            <w:pPr>
              <w:pStyle w:val="TCTableBody"/>
              <w:cnfStyle w:val="100000000000" w:firstRow="1" w:lastRow="0" w:firstColumn="0" w:lastColumn="0" w:oddVBand="0" w:evenVBand="0" w:oddHBand="0" w:evenHBand="0" w:firstRowFirstColumn="0" w:firstRowLastColumn="0" w:lastRowFirstColumn="0" w:lastRowLastColumn="0"/>
              <w:rPr>
                <w:b w:val="0"/>
                <w:color w:val="auto"/>
                <w:vertAlign w:val="subscript"/>
              </w:rPr>
            </w:pPr>
            <w:r w:rsidRPr="00AC1A16">
              <w:rPr>
                <w:b w:val="0"/>
                <w:color w:val="auto"/>
              </w:rPr>
              <w:t>T</w:t>
            </w:r>
            <w:r w:rsidRPr="00AC1A16">
              <w:rPr>
                <w:b w:val="0"/>
                <w:color w:val="auto"/>
                <w:vertAlign w:val="subscript"/>
              </w:rPr>
              <w:t>10%</w:t>
            </w:r>
          </w:p>
          <w:p w14:paraId="14983DB2" w14:textId="77777777" w:rsidR="00643B80" w:rsidRPr="00AC1A16" w:rsidRDefault="00643B80" w:rsidP="00874C80">
            <w:pPr>
              <w:pStyle w:val="TCTableBody"/>
              <w:cnfStyle w:val="100000000000" w:firstRow="1" w:lastRow="0" w:firstColumn="0" w:lastColumn="0" w:oddVBand="0" w:evenVBand="0" w:oddHBand="0" w:evenHBand="0" w:firstRowFirstColumn="0" w:firstRowLastColumn="0" w:lastRowFirstColumn="0" w:lastRowLastColumn="0"/>
              <w:rPr>
                <w:b w:val="0"/>
                <w:color w:val="auto"/>
              </w:rPr>
            </w:pPr>
            <w:r w:rsidRPr="00AC1A16">
              <w:rPr>
                <w:b w:val="0"/>
                <w:color w:val="auto"/>
              </w:rPr>
              <w:t>(ºC)</w:t>
            </w:r>
          </w:p>
        </w:tc>
        <w:tc>
          <w:tcPr>
            <w:tcW w:w="986" w:type="dxa"/>
            <w:shd w:val="clear" w:color="auto" w:fill="auto"/>
            <w:vAlign w:val="center"/>
          </w:tcPr>
          <w:p w14:paraId="2F839548" w14:textId="77777777" w:rsidR="00643B80" w:rsidRPr="00AC1A16" w:rsidRDefault="00643B80" w:rsidP="00874C80">
            <w:pPr>
              <w:pStyle w:val="TCTableBody"/>
              <w:cnfStyle w:val="100000000000" w:firstRow="1" w:lastRow="0" w:firstColumn="0" w:lastColumn="0" w:oddVBand="0" w:evenVBand="0" w:oddHBand="0" w:evenHBand="0" w:firstRowFirstColumn="0" w:firstRowLastColumn="0" w:lastRowFirstColumn="0" w:lastRowLastColumn="0"/>
              <w:rPr>
                <w:b w:val="0"/>
                <w:color w:val="auto"/>
              </w:rPr>
            </w:pPr>
            <w:r w:rsidRPr="00AC1A16">
              <w:rPr>
                <w:b w:val="0"/>
                <w:color w:val="auto"/>
              </w:rPr>
              <w:t>T</w:t>
            </w:r>
            <w:r w:rsidRPr="00AC1A16">
              <w:rPr>
                <w:b w:val="0"/>
                <w:color w:val="auto"/>
                <w:vertAlign w:val="subscript"/>
              </w:rPr>
              <w:t>50%</w:t>
            </w:r>
            <w:r w:rsidRPr="00AC1A16">
              <w:rPr>
                <w:b w:val="0"/>
                <w:color w:val="auto"/>
              </w:rPr>
              <w:t xml:space="preserve"> (ºC)</w:t>
            </w:r>
          </w:p>
        </w:tc>
        <w:tc>
          <w:tcPr>
            <w:tcW w:w="998" w:type="dxa"/>
            <w:shd w:val="clear" w:color="auto" w:fill="auto"/>
            <w:vAlign w:val="center"/>
          </w:tcPr>
          <w:p w14:paraId="6602A6CC" w14:textId="77777777" w:rsidR="00643B80" w:rsidRPr="00AC1A16" w:rsidRDefault="00643B80" w:rsidP="00874C80">
            <w:pPr>
              <w:pStyle w:val="TCTableBody"/>
              <w:cnfStyle w:val="100000000000" w:firstRow="1" w:lastRow="0" w:firstColumn="0" w:lastColumn="0" w:oddVBand="0" w:evenVBand="0" w:oddHBand="0" w:evenHBand="0" w:firstRowFirstColumn="0" w:firstRowLastColumn="0" w:lastRowFirstColumn="0" w:lastRowLastColumn="0"/>
              <w:rPr>
                <w:b w:val="0"/>
                <w:color w:val="auto"/>
              </w:rPr>
            </w:pPr>
            <w:r w:rsidRPr="00AC1A16">
              <w:rPr>
                <w:b w:val="0"/>
                <w:color w:val="auto"/>
              </w:rPr>
              <w:t>Residue (wt. %)</w:t>
            </w:r>
          </w:p>
        </w:tc>
        <w:tc>
          <w:tcPr>
            <w:tcW w:w="3827" w:type="dxa"/>
            <w:gridSpan w:val="4"/>
            <w:shd w:val="clear" w:color="auto" w:fill="auto"/>
            <w:vAlign w:val="center"/>
          </w:tcPr>
          <w:p w14:paraId="0EC5D06E" w14:textId="77777777" w:rsidR="00643B80" w:rsidRPr="00AC1A16" w:rsidRDefault="00643B80" w:rsidP="00874C80">
            <w:pPr>
              <w:pStyle w:val="TCTableBody"/>
              <w:cnfStyle w:val="100000000000" w:firstRow="1" w:lastRow="0" w:firstColumn="0" w:lastColumn="0" w:oddVBand="0" w:evenVBand="0" w:oddHBand="0" w:evenHBand="0" w:firstRowFirstColumn="0" w:firstRowLastColumn="0" w:lastRowFirstColumn="0" w:lastRowLastColumn="0"/>
              <w:rPr>
                <w:b w:val="0"/>
                <w:color w:val="auto"/>
              </w:rPr>
            </w:pPr>
            <w:r w:rsidRPr="00AC1A16">
              <w:rPr>
                <w:b w:val="0"/>
                <w:color w:val="auto"/>
              </w:rPr>
              <w:t>Degradation stages</w:t>
            </w:r>
          </w:p>
          <w:p w14:paraId="55D9CA27" w14:textId="77777777" w:rsidR="00643B80" w:rsidRPr="00AC1A16" w:rsidRDefault="00643B80" w:rsidP="00874C80">
            <w:pPr>
              <w:pStyle w:val="TCTableBody"/>
              <w:cnfStyle w:val="100000000000" w:firstRow="1" w:lastRow="0" w:firstColumn="0" w:lastColumn="0" w:oddVBand="0" w:evenVBand="0" w:oddHBand="0" w:evenHBand="0" w:firstRowFirstColumn="0" w:firstRowLastColumn="0" w:lastRowFirstColumn="0" w:lastRowLastColumn="0"/>
              <w:rPr>
                <w:b w:val="0"/>
                <w:color w:val="auto"/>
              </w:rPr>
            </w:pPr>
            <w:r w:rsidRPr="00AC1A16">
              <w:rPr>
                <w:b w:val="0"/>
                <w:color w:val="auto"/>
              </w:rPr>
              <w:t>(ºC)</w:t>
            </w:r>
          </w:p>
        </w:tc>
      </w:tr>
      <w:tr w:rsidR="00AC1A16" w:rsidRPr="00AC1A16" w14:paraId="3347F1B7" w14:textId="77777777" w:rsidTr="00874C80">
        <w:trPr>
          <w:cnfStyle w:val="000000100000" w:firstRow="0" w:lastRow="0" w:firstColumn="0" w:lastColumn="0" w:oddVBand="0" w:evenVBand="0" w:oddHBand="1" w:evenHBand="0" w:firstRowFirstColumn="0" w:firstRowLastColumn="0" w:lastRowFirstColumn="0" w:lastRowLastColumn="0"/>
          <w:trHeight w:val="338"/>
        </w:trPr>
        <w:tc>
          <w:tcPr>
            <w:cnfStyle w:val="001000000000" w:firstRow="0" w:lastRow="0" w:firstColumn="1" w:lastColumn="0" w:oddVBand="0" w:evenVBand="0" w:oddHBand="0" w:evenHBand="0" w:firstRowFirstColumn="0" w:firstRowLastColumn="0" w:lastRowFirstColumn="0" w:lastRowLastColumn="0"/>
            <w:tcW w:w="1515" w:type="dxa"/>
            <w:shd w:val="clear" w:color="auto" w:fill="auto"/>
            <w:vAlign w:val="center"/>
          </w:tcPr>
          <w:p w14:paraId="1E06B22E" w14:textId="77777777" w:rsidR="00643B80" w:rsidRPr="00AC1A16" w:rsidRDefault="00643B80" w:rsidP="00874C80">
            <w:pPr>
              <w:pStyle w:val="TCTableBody"/>
              <w:rPr>
                <w:b w:val="0"/>
                <w:color w:val="auto"/>
              </w:rPr>
            </w:pPr>
            <w:r w:rsidRPr="00AC1A16">
              <w:rPr>
                <w:b w:val="0"/>
                <w:color w:val="auto"/>
              </w:rPr>
              <w:t>Reference</w:t>
            </w:r>
          </w:p>
        </w:tc>
        <w:tc>
          <w:tcPr>
            <w:tcW w:w="901" w:type="dxa"/>
            <w:shd w:val="clear" w:color="auto" w:fill="auto"/>
            <w:vAlign w:val="center"/>
          </w:tcPr>
          <w:p w14:paraId="01EE45CA" w14:textId="77777777" w:rsidR="00643B80" w:rsidRPr="00AC1A16" w:rsidRDefault="00643B80" w:rsidP="00874C80">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202.75</w:t>
            </w:r>
          </w:p>
        </w:tc>
        <w:tc>
          <w:tcPr>
            <w:tcW w:w="986" w:type="dxa"/>
            <w:shd w:val="clear" w:color="auto" w:fill="auto"/>
            <w:vAlign w:val="center"/>
          </w:tcPr>
          <w:p w14:paraId="2CF7F6E7" w14:textId="77777777" w:rsidR="00643B80" w:rsidRPr="00AC1A16" w:rsidRDefault="00643B80" w:rsidP="00874C80">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657.51</w:t>
            </w:r>
          </w:p>
        </w:tc>
        <w:tc>
          <w:tcPr>
            <w:tcW w:w="998" w:type="dxa"/>
            <w:shd w:val="clear" w:color="auto" w:fill="auto"/>
            <w:vAlign w:val="center"/>
          </w:tcPr>
          <w:p w14:paraId="3FC7CF51" w14:textId="77777777" w:rsidR="00643B80" w:rsidRPr="00AC1A16" w:rsidRDefault="00643B80" w:rsidP="00874C80">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45.96</w:t>
            </w:r>
          </w:p>
        </w:tc>
        <w:tc>
          <w:tcPr>
            <w:tcW w:w="956" w:type="dxa"/>
            <w:shd w:val="clear" w:color="auto" w:fill="auto"/>
            <w:vAlign w:val="center"/>
          </w:tcPr>
          <w:p w14:paraId="6F692745" w14:textId="77777777" w:rsidR="00643B80" w:rsidRPr="00AC1A16" w:rsidRDefault="00643B80" w:rsidP="00874C80">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99.56</w:t>
            </w:r>
          </w:p>
        </w:tc>
        <w:tc>
          <w:tcPr>
            <w:tcW w:w="957" w:type="dxa"/>
            <w:shd w:val="clear" w:color="auto" w:fill="auto"/>
            <w:vAlign w:val="center"/>
          </w:tcPr>
          <w:p w14:paraId="301481E5" w14:textId="77777777" w:rsidR="00643B80" w:rsidRPr="00AC1A16" w:rsidRDefault="00643B80" w:rsidP="00874C80">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296.23</w:t>
            </w:r>
          </w:p>
        </w:tc>
        <w:tc>
          <w:tcPr>
            <w:tcW w:w="957" w:type="dxa"/>
            <w:shd w:val="clear" w:color="auto" w:fill="auto"/>
            <w:vAlign w:val="center"/>
          </w:tcPr>
          <w:p w14:paraId="1DC8038A" w14:textId="77777777" w:rsidR="00643B80" w:rsidRPr="00AC1A16" w:rsidRDefault="00643B80" w:rsidP="00874C80">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358.92</w:t>
            </w:r>
          </w:p>
        </w:tc>
        <w:tc>
          <w:tcPr>
            <w:tcW w:w="957" w:type="dxa"/>
            <w:shd w:val="clear" w:color="auto" w:fill="auto"/>
            <w:vAlign w:val="center"/>
          </w:tcPr>
          <w:p w14:paraId="1D3C7457" w14:textId="77777777" w:rsidR="00643B80" w:rsidRPr="00AC1A16" w:rsidRDefault="00643B80" w:rsidP="00874C80">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475.11</w:t>
            </w:r>
          </w:p>
        </w:tc>
      </w:tr>
      <w:tr w:rsidR="00AC1A16" w:rsidRPr="00AC1A16" w14:paraId="2723C537" w14:textId="77777777" w:rsidTr="00874C80">
        <w:trPr>
          <w:trHeight w:val="338"/>
        </w:trPr>
        <w:tc>
          <w:tcPr>
            <w:cnfStyle w:val="001000000000" w:firstRow="0" w:lastRow="0" w:firstColumn="1" w:lastColumn="0" w:oddVBand="0" w:evenVBand="0" w:oddHBand="0" w:evenHBand="0" w:firstRowFirstColumn="0" w:firstRowLastColumn="0" w:lastRowFirstColumn="0" w:lastRowLastColumn="0"/>
            <w:tcW w:w="1515" w:type="dxa"/>
            <w:shd w:val="clear" w:color="auto" w:fill="auto"/>
            <w:vAlign w:val="center"/>
          </w:tcPr>
          <w:p w14:paraId="6A10D797" w14:textId="77777777" w:rsidR="00643B80" w:rsidRPr="00AC1A16" w:rsidRDefault="00643B80" w:rsidP="00874C80">
            <w:pPr>
              <w:pStyle w:val="TCTableBody"/>
              <w:rPr>
                <w:b w:val="0"/>
                <w:color w:val="auto"/>
              </w:rPr>
            </w:pPr>
            <w:r w:rsidRPr="00AC1A16">
              <w:rPr>
                <w:b w:val="0"/>
                <w:color w:val="auto"/>
              </w:rPr>
              <w:t>R</w:t>
            </w:r>
            <w:r w:rsidRPr="00AC1A16">
              <w:rPr>
                <w:b w:val="0"/>
                <w:color w:val="auto"/>
                <w:vertAlign w:val="subscript"/>
              </w:rPr>
              <w:t>A</w:t>
            </w:r>
          </w:p>
        </w:tc>
        <w:tc>
          <w:tcPr>
            <w:tcW w:w="901" w:type="dxa"/>
            <w:shd w:val="clear" w:color="auto" w:fill="auto"/>
            <w:vAlign w:val="center"/>
          </w:tcPr>
          <w:p w14:paraId="232B9B17" w14:textId="77777777" w:rsidR="00643B80" w:rsidRPr="00AC1A16" w:rsidRDefault="00643B80" w:rsidP="00874C80">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215.19</w:t>
            </w:r>
          </w:p>
        </w:tc>
        <w:tc>
          <w:tcPr>
            <w:tcW w:w="986" w:type="dxa"/>
            <w:shd w:val="clear" w:color="auto" w:fill="auto"/>
            <w:vAlign w:val="center"/>
          </w:tcPr>
          <w:p w14:paraId="5AE99606" w14:textId="77777777" w:rsidR="00643B80" w:rsidRPr="00AC1A16" w:rsidRDefault="00643B80" w:rsidP="00874C80">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745.07</w:t>
            </w:r>
          </w:p>
        </w:tc>
        <w:tc>
          <w:tcPr>
            <w:tcW w:w="998" w:type="dxa"/>
            <w:shd w:val="clear" w:color="auto" w:fill="auto"/>
            <w:vAlign w:val="center"/>
          </w:tcPr>
          <w:p w14:paraId="4E2D47C2" w14:textId="77777777" w:rsidR="00643B80" w:rsidRPr="00AC1A16" w:rsidRDefault="00643B80" w:rsidP="00874C80">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48.13</w:t>
            </w:r>
          </w:p>
        </w:tc>
        <w:tc>
          <w:tcPr>
            <w:tcW w:w="956" w:type="dxa"/>
            <w:shd w:val="clear" w:color="auto" w:fill="auto"/>
            <w:vAlign w:val="center"/>
          </w:tcPr>
          <w:p w14:paraId="3A26C6AD" w14:textId="77777777" w:rsidR="00643B80" w:rsidRPr="00AC1A16" w:rsidRDefault="00643B80" w:rsidP="00874C80">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77.07</w:t>
            </w:r>
          </w:p>
        </w:tc>
        <w:tc>
          <w:tcPr>
            <w:tcW w:w="957" w:type="dxa"/>
            <w:shd w:val="clear" w:color="auto" w:fill="auto"/>
            <w:vAlign w:val="center"/>
          </w:tcPr>
          <w:p w14:paraId="7CA0B595" w14:textId="77777777" w:rsidR="00643B80" w:rsidRPr="00AC1A16" w:rsidRDefault="00643B80" w:rsidP="00874C80">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299.62</w:t>
            </w:r>
          </w:p>
        </w:tc>
        <w:tc>
          <w:tcPr>
            <w:tcW w:w="957" w:type="dxa"/>
            <w:shd w:val="clear" w:color="auto" w:fill="auto"/>
            <w:vAlign w:val="center"/>
          </w:tcPr>
          <w:p w14:paraId="3C63140F" w14:textId="77777777" w:rsidR="00643B80" w:rsidRPr="00AC1A16" w:rsidRDefault="00643B80" w:rsidP="00874C80">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361.02</w:t>
            </w:r>
          </w:p>
        </w:tc>
        <w:tc>
          <w:tcPr>
            <w:tcW w:w="957" w:type="dxa"/>
            <w:shd w:val="clear" w:color="auto" w:fill="auto"/>
            <w:vAlign w:val="center"/>
          </w:tcPr>
          <w:p w14:paraId="400551E6" w14:textId="77777777" w:rsidR="00643B80" w:rsidRPr="00AC1A16" w:rsidRDefault="00643B80" w:rsidP="00874C80">
            <w:pPr>
              <w:pStyle w:val="TCTableBody"/>
              <w:cnfStyle w:val="000000000000" w:firstRow="0" w:lastRow="0" w:firstColumn="0" w:lastColumn="0" w:oddVBand="0" w:evenVBand="0" w:oddHBand="0" w:evenHBand="0" w:firstRowFirstColumn="0" w:firstRowLastColumn="0" w:lastRowFirstColumn="0" w:lastRowLastColumn="0"/>
              <w:rPr>
                <w:color w:val="auto"/>
              </w:rPr>
            </w:pPr>
            <w:r w:rsidRPr="00AC1A16">
              <w:rPr>
                <w:color w:val="auto"/>
              </w:rPr>
              <w:t>480.75</w:t>
            </w:r>
          </w:p>
        </w:tc>
      </w:tr>
      <w:tr w:rsidR="00AC1A16" w:rsidRPr="00AC1A16" w14:paraId="39D6F341" w14:textId="77777777" w:rsidTr="00874C80">
        <w:trPr>
          <w:cnfStyle w:val="000000100000" w:firstRow="0" w:lastRow="0" w:firstColumn="0" w:lastColumn="0" w:oddVBand="0" w:evenVBand="0" w:oddHBand="1" w:evenHBand="0" w:firstRowFirstColumn="0" w:firstRowLastColumn="0" w:lastRowFirstColumn="0" w:lastRowLastColumn="0"/>
          <w:trHeight w:val="338"/>
        </w:trPr>
        <w:tc>
          <w:tcPr>
            <w:cnfStyle w:val="001000000000" w:firstRow="0" w:lastRow="0" w:firstColumn="1" w:lastColumn="0" w:oddVBand="0" w:evenVBand="0" w:oddHBand="0" w:evenHBand="0" w:firstRowFirstColumn="0" w:firstRowLastColumn="0" w:lastRowFirstColumn="0" w:lastRowLastColumn="0"/>
            <w:tcW w:w="1515" w:type="dxa"/>
            <w:shd w:val="clear" w:color="auto" w:fill="auto"/>
            <w:vAlign w:val="center"/>
          </w:tcPr>
          <w:p w14:paraId="22518E99" w14:textId="77777777" w:rsidR="00643B80" w:rsidRPr="00AC1A16" w:rsidRDefault="00643B80" w:rsidP="00874C80">
            <w:pPr>
              <w:pStyle w:val="TCTableBody"/>
              <w:rPr>
                <w:b w:val="0"/>
                <w:color w:val="auto"/>
              </w:rPr>
            </w:pPr>
            <w:r w:rsidRPr="00AC1A16">
              <w:rPr>
                <w:b w:val="0"/>
                <w:color w:val="auto"/>
              </w:rPr>
              <w:t>R</w:t>
            </w:r>
            <w:r w:rsidRPr="00AC1A16">
              <w:rPr>
                <w:b w:val="0"/>
                <w:color w:val="auto"/>
                <w:vertAlign w:val="subscript"/>
              </w:rPr>
              <w:t>B</w:t>
            </w:r>
          </w:p>
        </w:tc>
        <w:tc>
          <w:tcPr>
            <w:tcW w:w="901" w:type="dxa"/>
            <w:shd w:val="clear" w:color="auto" w:fill="auto"/>
            <w:vAlign w:val="center"/>
          </w:tcPr>
          <w:p w14:paraId="2DD83F3A" w14:textId="77777777" w:rsidR="00643B80" w:rsidRPr="00AC1A16" w:rsidRDefault="00643B80" w:rsidP="00874C80">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214.46</w:t>
            </w:r>
          </w:p>
        </w:tc>
        <w:tc>
          <w:tcPr>
            <w:tcW w:w="986" w:type="dxa"/>
            <w:shd w:val="clear" w:color="auto" w:fill="auto"/>
            <w:vAlign w:val="center"/>
          </w:tcPr>
          <w:p w14:paraId="5BFE5E06" w14:textId="77777777" w:rsidR="00643B80" w:rsidRPr="00AC1A16" w:rsidRDefault="00643B80" w:rsidP="00874C80">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759.13</w:t>
            </w:r>
          </w:p>
        </w:tc>
        <w:tc>
          <w:tcPr>
            <w:tcW w:w="998" w:type="dxa"/>
            <w:shd w:val="clear" w:color="auto" w:fill="auto"/>
            <w:vAlign w:val="center"/>
          </w:tcPr>
          <w:p w14:paraId="4869F0BC" w14:textId="77777777" w:rsidR="00643B80" w:rsidRPr="00AC1A16" w:rsidRDefault="00643B80" w:rsidP="00874C80">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48.55</w:t>
            </w:r>
          </w:p>
        </w:tc>
        <w:tc>
          <w:tcPr>
            <w:tcW w:w="956" w:type="dxa"/>
            <w:shd w:val="clear" w:color="auto" w:fill="auto"/>
            <w:vAlign w:val="center"/>
          </w:tcPr>
          <w:p w14:paraId="23452CFF" w14:textId="77777777" w:rsidR="00643B80" w:rsidRPr="00AC1A16" w:rsidRDefault="00643B80" w:rsidP="00874C80">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81.10</w:t>
            </w:r>
          </w:p>
        </w:tc>
        <w:tc>
          <w:tcPr>
            <w:tcW w:w="957" w:type="dxa"/>
            <w:shd w:val="clear" w:color="auto" w:fill="auto"/>
            <w:vAlign w:val="center"/>
          </w:tcPr>
          <w:p w14:paraId="2FDBFE2A" w14:textId="77777777" w:rsidR="00643B80" w:rsidRPr="00AC1A16" w:rsidRDefault="00643B80" w:rsidP="00874C80">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301.71</w:t>
            </w:r>
          </w:p>
        </w:tc>
        <w:tc>
          <w:tcPr>
            <w:tcW w:w="957" w:type="dxa"/>
            <w:shd w:val="clear" w:color="auto" w:fill="auto"/>
            <w:vAlign w:val="center"/>
          </w:tcPr>
          <w:p w14:paraId="25B26EB2" w14:textId="77777777" w:rsidR="00643B80" w:rsidRPr="00AC1A16" w:rsidRDefault="00643B80" w:rsidP="00874C80">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367.30</w:t>
            </w:r>
          </w:p>
        </w:tc>
        <w:tc>
          <w:tcPr>
            <w:tcW w:w="957" w:type="dxa"/>
            <w:shd w:val="clear" w:color="auto" w:fill="auto"/>
            <w:vAlign w:val="center"/>
          </w:tcPr>
          <w:p w14:paraId="494D698C" w14:textId="77777777" w:rsidR="00643B80" w:rsidRPr="00AC1A16" w:rsidRDefault="00643B80" w:rsidP="00874C80">
            <w:pPr>
              <w:pStyle w:val="TCTableBody"/>
              <w:cnfStyle w:val="000000100000" w:firstRow="0" w:lastRow="0" w:firstColumn="0" w:lastColumn="0" w:oddVBand="0" w:evenVBand="0" w:oddHBand="1" w:evenHBand="0" w:firstRowFirstColumn="0" w:firstRowLastColumn="0" w:lastRowFirstColumn="0" w:lastRowLastColumn="0"/>
              <w:rPr>
                <w:color w:val="auto"/>
              </w:rPr>
            </w:pPr>
            <w:r w:rsidRPr="00AC1A16">
              <w:rPr>
                <w:color w:val="auto"/>
              </w:rPr>
              <w:t>482.85</w:t>
            </w:r>
          </w:p>
        </w:tc>
      </w:tr>
    </w:tbl>
    <w:p w14:paraId="2CE9AE02" w14:textId="4CC1ED97" w:rsidR="00E31F62" w:rsidRPr="00AC1A16" w:rsidRDefault="00E31F62" w:rsidP="00E31F62">
      <w:pPr>
        <w:pStyle w:val="TAMainText"/>
      </w:pPr>
    </w:p>
    <w:p w14:paraId="7D18EF93" w14:textId="51DF6E31" w:rsidR="00E7058E" w:rsidRPr="00AC1A16" w:rsidRDefault="00E7058E" w:rsidP="00E31F62">
      <w:pPr>
        <w:pStyle w:val="TAMainText"/>
      </w:pPr>
      <w:r w:rsidRPr="00AC1A16">
        <w:t xml:space="preserve">Assessment of the </w:t>
      </w:r>
      <w:r w:rsidR="00602C22" w:rsidRPr="00AC1A16">
        <w:t>performance of the coatings</w:t>
      </w:r>
    </w:p>
    <w:p w14:paraId="40ABD30A" w14:textId="03932AA4" w:rsidR="00A90DB1" w:rsidRPr="00AC1A16" w:rsidRDefault="0036292E" w:rsidP="00E31F62">
      <w:pPr>
        <w:pStyle w:val="TAMainText"/>
      </w:pPr>
      <w:r w:rsidRPr="00AC1A16">
        <w:t>Retention of the coatings</w:t>
      </w:r>
    </w:p>
    <w:p w14:paraId="1ACBEB32" w14:textId="3FD78B14" w:rsidR="00243E90" w:rsidRPr="00AC1A16" w:rsidRDefault="0036292E" w:rsidP="00E31F62">
      <w:pPr>
        <w:pStyle w:val="TAMainText"/>
      </w:pPr>
      <w:r w:rsidRPr="00AC1A16">
        <w:t xml:space="preserve">Before testing the performance of the coatings against different thermal parameters related to fire exposure, the retention of the resins onto the wood samples was assessed. </w:t>
      </w:r>
      <w:r w:rsidR="00D25E0A" w:rsidRPr="00AC1A16">
        <w:t>With this intention, the resins were deposited onto the wood surface and cured + dried according to the p</w:t>
      </w:r>
      <w:r w:rsidR="00EE31E9" w:rsidRPr="00AC1A16">
        <w:t>arameters defined in</w:t>
      </w:r>
      <w:r w:rsidR="00F85A7A" w:rsidRPr="00AC1A16">
        <w:t xml:space="preserve"> the corresponding</w:t>
      </w:r>
      <w:r w:rsidR="00EE31E9" w:rsidRPr="00AC1A16">
        <w:t xml:space="preserve"> section</w:t>
      </w:r>
      <w:r w:rsidR="00F85A7A" w:rsidRPr="00AC1A16">
        <w:t xml:space="preserve"> of materials and methods</w:t>
      </w:r>
      <w:r w:rsidR="00D25E0A" w:rsidRPr="00AC1A16">
        <w:t>.</w:t>
      </w:r>
      <w:r w:rsidRPr="00AC1A16">
        <w:t xml:space="preserve"> After </w:t>
      </w:r>
      <w:r w:rsidR="00243E90" w:rsidRPr="00AC1A16">
        <w:t>this process</w:t>
      </w:r>
      <w:r w:rsidRPr="00AC1A16">
        <w:t>, the weight percentage gain</w:t>
      </w:r>
      <w:r w:rsidR="00243E90" w:rsidRPr="00AC1A16">
        <w:t xml:space="preserve"> (WPG)</w:t>
      </w:r>
      <w:r w:rsidRPr="00AC1A16">
        <w:t xml:space="preserve"> was determined to elucidate the degree of retention of the resins in each wood species </w:t>
      </w:r>
      <w:r w:rsidR="008409D8" w:rsidRPr="00AC1A16">
        <w:t>(table 4</w:t>
      </w:r>
      <w:r w:rsidR="00243E90" w:rsidRPr="00AC1A16">
        <w:t>)</w:t>
      </w:r>
      <w:r w:rsidRPr="00AC1A16">
        <w:t>.</w:t>
      </w:r>
      <w:r w:rsidR="00F85A7A" w:rsidRPr="00AC1A16">
        <w:t xml:space="preserve"> The measurements for this parameter as well as the relative humidity were carried out in triplicate for each sample.</w:t>
      </w:r>
    </w:p>
    <w:p w14:paraId="1C0A985C" w14:textId="02ABC6A5" w:rsidR="00243E90" w:rsidRDefault="008409D8" w:rsidP="00E31F62">
      <w:pPr>
        <w:pStyle w:val="VDTableTitle"/>
      </w:pPr>
      <w:r w:rsidRPr="00AC1A16">
        <w:rPr>
          <w:b/>
        </w:rPr>
        <w:t>Table 4</w:t>
      </w:r>
      <w:r w:rsidR="00243E90" w:rsidRPr="00AC1A16">
        <w:rPr>
          <w:b/>
        </w:rPr>
        <w:t>.</w:t>
      </w:r>
      <w:r w:rsidR="00243E90" w:rsidRPr="00AC1A16">
        <w:t xml:space="preserve"> </w:t>
      </w:r>
      <w:r w:rsidR="007E540B">
        <w:t>Relative humidity and w</w:t>
      </w:r>
      <w:r w:rsidR="00243E90" w:rsidRPr="00AC1A16">
        <w:t>eight percentage gain of the wood samples</w:t>
      </w:r>
      <w:r w:rsidR="007E540B">
        <w:t xml:space="preserve"> before and</w:t>
      </w:r>
      <w:r w:rsidR="00243E90" w:rsidRPr="00AC1A16">
        <w:t xml:space="preserve"> after the application of the coating.</w:t>
      </w:r>
    </w:p>
    <w:tbl>
      <w:tblPr>
        <w:tblStyle w:val="Tablaconcuadrcula"/>
        <w:tblW w:w="0" w:type="auto"/>
        <w:tblLook w:val="04A0" w:firstRow="1" w:lastRow="0" w:firstColumn="1" w:lastColumn="0" w:noHBand="0" w:noVBand="1"/>
      </w:tblPr>
      <w:tblGrid>
        <w:gridCol w:w="2689"/>
        <w:gridCol w:w="2126"/>
        <w:gridCol w:w="1839"/>
        <w:gridCol w:w="1840"/>
      </w:tblGrid>
      <w:tr w:rsidR="007E540B" w14:paraId="2A98B2AF" w14:textId="77777777" w:rsidTr="00EA1A18">
        <w:trPr>
          <w:trHeight w:val="218"/>
        </w:trPr>
        <w:tc>
          <w:tcPr>
            <w:tcW w:w="2689" w:type="dxa"/>
            <w:vMerge w:val="restart"/>
            <w:tcBorders>
              <w:left w:val="nil"/>
              <w:right w:val="nil"/>
            </w:tcBorders>
          </w:tcPr>
          <w:p w14:paraId="22440EDC" w14:textId="77777777" w:rsidR="007E540B" w:rsidRPr="00F7522A" w:rsidRDefault="007E540B" w:rsidP="007E540B">
            <w:pPr>
              <w:pStyle w:val="TCTableBody"/>
            </w:pPr>
            <w:r w:rsidRPr="00F7522A">
              <w:t>Parameters</w:t>
            </w:r>
          </w:p>
        </w:tc>
        <w:tc>
          <w:tcPr>
            <w:tcW w:w="2126" w:type="dxa"/>
            <w:vMerge w:val="restart"/>
            <w:tcBorders>
              <w:top w:val="single" w:sz="4" w:space="0" w:color="auto"/>
              <w:left w:val="nil"/>
              <w:bottom w:val="single" w:sz="4" w:space="0" w:color="auto"/>
              <w:right w:val="nil"/>
            </w:tcBorders>
          </w:tcPr>
          <w:p w14:paraId="27FAE48A" w14:textId="77777777" w:rsidR="007E540B" w:rsidRPr="00F7522A" w:rsidRDefault="007E540B" w:rsidP="007E540B">
            <w:pPr>
              <w:pStyle w:val="TCTableBody"/>
            </w:pPr>
            <w:r w:rsidRPr="00F7522A">
              <w:t>Samples</w:t>
            </w:r>
          </w:p>
        </w:tc>
        <w:tc>
          <w:tcPr>
            <w:tcW w:w="3679" w:type="dxa"/>
            <w:gridSpan w:val="2"/>
            <w:tcBorders>
              <w:left w:val="nil"/>
              <w:bottom w:val="single" w:sz="4" w:space="0" w:color="auto"/>
              <w:right w:val="nil"/>
            </w:tcBorders>
          </w:tcPr>
          <w:p w14:paraId="5F1E5B12" w14:textId="77777777" w:rsidR="007E540B" w:rsidRPr="00F7522A" w:rsidRDefault="007E540B" w:rsidP="007E540B">
            <w:pPr>
              <w:pStyle w:val="TCTableBody"/>
            </w:pPr>
            <w:r>
              <w:t>Wood species</w:t>
            </w:r>
          </w:p>
        </w:tc>
      </w:tr>
      <w:tr w:rsidR="007E540B" w14:paraId="0FE851B7" w14:textId="77777777" w:rsidTr="00EA1A18">
        <w:trPr>
          <w:trHeight w:val="217"/>
        </w:trPr>
        <w:tc>
          <w:tcPr>
            <w:tcW w:w="2689" w:type="dxa"/>
            <w:vMerge/>
            <w:tcBorders>
              <w:left w:val="nil"/>
              <w:right w:val="nil"/>
            </w:tcBorders>
          </w:tcPr>
          <w:p w14:paraId="3F0BA1B1" w14:textId="77777777" w:rsidR="007E540B" w:rsidRPr="00F7522A" w:rsidRDefault="007E540B" w:rsidP="007E540B">
            <w:pPr>
              <w:pStyle w:val="TCTableBody"/>
            </w:pPr>
          </w:p>
        </w:tc>
        <w:tc>
          <w:tcPr>
            <w:tcW w:w="2126" w:type="dxa"/>
            <w:vMerge/>
            <w:tcBorders>
              <w:top w:val="single" w:sz="4" w:space="0" w:color="auto"/>
              <w:left w:val="nil"/>
              <w:bottom w:val="single" w:sz="4" w:space="0" w:color="auto"/>
              <w:right w:val="nil"/>
            </w:tcBorders>
          </w:tcPr>
          <w:p w14:paraId="3C46CD08" w14:textId="77777777" w:rsidR="007E540B" w:rsidRPr="00F7522A" w:rsidRDefault="007E540B" w:rsidP="007E540B">
            <w:pPr>
              <w:pStyle w:val="TCTableBody"/>
            </w:pPr>
          </w:p>
        </w:tc>
        <w:tc>
          <w:tcPr>
            <w:tcW w:w="1839" w:type="dxa"/>
            <w:tcBorders>
              <w:top w:val="single" w:sz="4" w:space="0" w:color="auto"/>
              <w:left w:val="nil"/>
              <w:bottom w:val="single" w:sz="4" w:space="0" w:color="auto"/>
              <w:right w:val="nil"/>
            </w:tcBorders>
          </w:tcPr>
          <w:p w14:paraId="03347B8F" w14:textId="77777777" w:rsidR="007E540B" w:rsidRPr="00ED4AEC" w:rsidRDefault="007E540B" w:rsidP="007E540B">
            <w:pPr>
              <w:pStyle w:val="TCTableBody"/>
              <w:rPr>
                <w:b/>
              </w:rPr>
            </w:pPr>
            <w:r w:rsidRPr="00ED4AEC">
              <w:rPr>
                <w:b/>
              </w:rPr>
              <w:t>Maritime Pine</w:t>
            </w:r>
          </w:p>
        </w:tc>
        <w:tc>
          <w:tcPr>
            <w:tcW w:w="1840" w:type="dxa"/>
            <w:tcBorders>
              <w:top w:val="single" w:sz="4" w:space="0" w:color="auto"/>
              <w:left w:val="nil"/>
              <w:bottom w:val="single" w:sz="4" w:space="0" w:color="auto"/>
              <w:right w:val="nil"/>
            </w:tcBorders>
          </w:tcPr>
          <w:p w14:paraId="0F74D3A6" w14:textId="77777777" w:rsidR="007E540B" w:rsidRPr="00ED4AEC" w:rsidRDefault="007E540B" w:rsidP="007E540B">
            <w:pPr>
              <w:pStyle w:val="TCTableBody"/>
              <w:rPr>
                <w:b/>
              </w:rPr>
            </w:pPr>
            <w:r w:rsidRPr="00ED4AEC">
              <w:rPr>
                <w:b/>
              </w:rPr>
              <w:t>Beech</w:t>
            </w:r>
          </w:p>
        </w:tc>
      </w:tr>
      <w:tr w:rsidR="007E540B" w14:paraId="449B3151" w14:textId="77777777" w:rsidTr="00EA1A18">
        <w:trPr>
          <w:trHeight w:val="146"/>
        </w:trPr>
        <w:tc>
          <w:tcPr>
            <w:tcW w:w="2689" w:type="dxa"/>
            <w:vMerge w:val="restart"/>
            <w:tcBorders>
              <w:left w:val="nil"/>
              <w:right w:val="nil"/>
            </w:tcBorders>
            <w:vAlign w:val="center"/>
          </w:tcPr>
          <w:p w14:paraId="5E938BC1" w14:textId="77777777" w:rsidR="007E540B" w:rsidRPr="00F7522A" w:rsidRDefault="007E540B" w:rsidP="007E540B">
            <w:pPr>
              <w:pStyle w:val="TCTableBody"/>
            </w:pPr>
            <w:r w:rsidRPr="00F7522A">
              <w:t>Relative Humidity</w:t>
            </w:r>
          </w:p>
          <w:p w14:paraId="5D6566BE" w14:textId="77777777" w:rsidR="007E540B" w:rsidRPr="00F7522A" w:rsidRDefault="007E540B" w:rsidP="007E540B">
            <w:pPr>
              <w:pStyle w:val="TCTableBody"/>
            </w:pPr>
            <w:r w:rsidRPr="00F7522A">
              <w:t>(%)</w:t>
            </w:r>
          </w:p>
        </w:tc>
        <w:tc>
          <w:tcPr>
            <w:tcW w:w="2126" w:type="dxa"/>
            <w:tcBorders>
              <w:top w:val="single" w:sz="4" w:space="0" w:color="auto"/>
              <w:left w:val="nil"/>
              <w:bottom w:val="nil"/>
              <w:right w:val="nil"/>
            </w:tcBorders>
          </w:tcPr>
          <w:p w14:paraId="16237BFD" w14:textId="77777777" w:rsidR="007E540B" w:rsidRPr="00F7522A" w:rsidRDefault="007E540B" w:rsidP="007E540B">
            <w:pPr>
              <w:pStyle w:val="TCTableBody"/>
            </w:pPr>
            <w:r>
              <w:t>Non coated</w:t>
            </w:r>
          </w:p>
        </w:tc>
        <w:tc>
          <w:tcPr>
            <w:tcW w:w="1839" w:type="dxa"/>
            <w:tcBorders>
              <w:top w:val="single" w:sz="4" w:space="0" w:color="auto"/>
              <w:left w:val="nil"/>
              <w:bottom w:val="nil"/>
              <w:right w:val="nil"/>
            </w:tcBorders>
          </w:tcPr>
          <w:p w14:paraId="6A586124" w14:textId="77777777" w:rsidR="007E540B" w:rsidRPr="00F7522A" w:rsidRDefault="007E540B" w:rsidP="007E540B">
            <w:pPr>
              <w:pStyle w:val="TCTableBody"/>
            </w:pPr>
            <w:r w:rsidRPr="00AC1A16">
              <w:rPr>
                <w:szCs w:val="24"/>
              </w:rPr>
              <w:t>11.85±0.54</w:t>
            </w:r>
            <w:r w:rsidRPr="00AC790F">
              <w:rPr>
                <w:sz w:val="22"/>
                <w:szCs w:val="22"/>
                <w:vertAlign w:val="superscript"/>
              </w:rPr>
              <w:t>(1-a,b)</w:t>
            </w:r>
          </w:p>
        </w:tc>
        <w:tc>
          <w:tcPr>
            <w:tcW w:w="1840" w:type="dxa"/>
            <w:tcBorders>
              <w:top w:val="single" w:sz="4" w:space="0" w:color="auto"/>
              <w:left w:val="nil"/>
              <w:bottom w:val="nil"/>
              <w:right w:val="nil"/>
            </w:tcBorders>
          </w:tcPr>
          <w:p w14:paraId="5B937FD0" w14:textId="77777777" w:rsidR="007E540B" w:rsidRPr="00F7522A" w:rsidRDefault="007E540B" w:rsidP="007E540B">
            <w:pPr>
              <w:pStyle w:val="TCTableBody"/>
            </w:pPr>
            <w:r w:rsidRPr="00AC1A16">
              <w:rPr>
                <w:szCs w:val="24"/>
              </w:rPr>
              <w:t>13</w:t>
            </w:r>
            <w:r>
              <w:rPr>
                <w:szCs w:val="24"/>
              </w:rPr>
              <w:t>.99</w:t>
            </w:r>
            <w:r w:rsidRPr="00AC1A16">
              <w:rPr>
                <w:szCs w:val="24"/>
              </w:rPr>
              <w:t>±0.39</w:t>
            </w:r>
            <w:r w:rsidRPr="00AC790F">
              <w:rPr>
                <w:sz w:val="22"/>
                <w:szCs w:val="22"/>
                <w:vertAlign w:val="superscript"/>
              </w:rPr>
              <w:t>(1-a,b)</w:t>
            </w:r>
          </w:p>
        </w:tc>
      </w:tr>
      <w:tr w:rsidR="007E540B" w14:paraId="17371A3B" w14:textId="77777777" w:rsidTr="00EA1A18">
        <w:trPr>
          <w:trHeight w:val="142"/>
        </w:trPr>
        <w:tc>
          <w:tcPr>
            <w:tcW w:w="2689" w:type="dxa"/>
            <w:vMerge/>
            <w:tcBorders>
              <w:left w:val="nil"/>
              <w:right w:val="nil"/>
            </w:tcBorders>
          </w:tcPr>
          <w:p w14:paraId="10BFD9B4" w14:textId="77777777" w:rsidR="007E540B" w:rsidRPr="00F7522A" w:rsidRDefault="007E540B" w:rsidP="007E540B">
            <w:pPr>
              <w:pStyle w:val="TCTableBody"/>
            </w:pPr>
          </w:p>
        </w:tc>
        <w:tc>
          <w:tcPr>
            <w:tcW w:w="2126" w:type="dxa"/>
            <w:tcBorders>
              <w:top w:val="nil"/>
              <w:left w:val="nil"/>
              <w:bottom w:val="nil"/>
              <w:right w:val="nil"/>
            </w:tcBorders>
          </w:tcPr>
          <w:p w14:paraId="2B0F89BC" w14:textId="77777777" w:rsidR="007E540B" w:rsidRPr="00F7522A" w:rsidRDefault="007E540B" w:rsidP="007E540B">
            <w:pPr>
              <w:pStyle w:val="TCTableBody"/>
            </w:pPr>
            <w:r>
              <w:t>Coating Reference</w:t>
            </w:r>
          </w:p>
        </w:tc>
        <w:tc>
          <w:tcPr>
            <w:tcW w:w="1839" w:type="dxa"/>
            <w:tcBorders>
              <w:top w:val="nil"/>
              <w:left w:val="nil"/>
              <w:bottom w:val="nil"/>
              <w:right w:val="nil"/>
            </w:tcBorders>
          </w:tcPr>
          <w:p w14:paraId="0E23C5BF" w14:textId="77777777" w:rsidR="007E540B" w:rsidRPr="00F7522A" w:rsidRDefault="007E540B" w:rsidP="007E540B">
            <w:pPr>
              <w:pStyle w:val="TCTableBody"/>
            </w:pPr>
            <w:r>
              <w:t>10.40</w:t>
            </w:r>
            <w:r w:rsidRPr="00AC1A16">
              <w:rPr>
                <w:szCs w:val="24"/>
              </w:rPr>
              <w:t>±</w:t>
            </w:r>
            <w:r>
              <w:rPr>
                <w:szCs w:val="24"/>
              </w:rPr>
              <w:t>0.35</w:t>
            </w:r>
            <w:r w:rsidRPr="00AC790F">
              <w:rPr>
                <w:sz w:val="22"/>
                <w:szCs w:val="22"/>
                <w:vertAlign w:val="superscript"/>
              </w:rPr>
              <w:t>(a)</w:t>
            </w:r>
          </w:p>
        </w:tc>
        <w:tc>
          <w:tcPr>
            <w:tcW w:w="1840" w:type="dxa"/>
            <w:tcBorders>
              <w:top w:val="nil"/>
              <w:left w:val="nil"/>
              <w:bottom w:val="nil"/>
              <w:right w:val="nil"/>
            </w:tcBorders>
          </w:tcPr>
          <w:p w14:paraId="0D65D8B4" w14:textId="77777777" w:rsidR="007E540B" w:rsidRPr="00F7522A" w:rsidRDefault="007E540B" w:rsidP="007E540B">
            <w:pPr>
              <w:pStyle w:val="TCTableBody"/>
            </w:pPr>
            <w:r>
              <w:t>12.34</w:t>
            </w:r>
            <w:r w:rsidRPr="00AC1A16">
              <w:rPr>
                <w:szCs w:val="24"/>
              </w:rPr>
              <w:t>±</w:t>
            </w:r>
            <w:r>
              <w:rPr>
                <w:szCs w:val="24"/>
              </w:rPr>
              <w:t>0.21</w:t>
            </w:r>
            <w:r w:rsidRPr="00AC790F">
              <w:rPr>
                <w:sz w:val="22"/>
                <w:szCs w:val="22"/>
                <w:vertAlign w:val="superscript"/>
              </w:rPr>
              <w:t>(a)</w:t>
            </w:r>
          </w:p>
        </w:tc>
      </w:tr>
      <w:tr w:rsidR="007E540B" w14:paraId="1EACC18F" w14:textId="77777777" w:rsidTr="00EA1A18">
        <w:trPr>
          <w:trHeight w:val="142"/>
        </w:trPr>
        <w:tc>
          <w:tcPr>
            <w:tcW w:w="2689" w:type="dxa"/>
            <w:vMerge/>
            <w:tcBorders>
              <w:left w:val="nil"/>
              <w:right w:val="nil"/>
            </w:tcBorders>
          </w:tcPr>
          <w:p w14:paraId="37F5FCAF" w14:textId="77777777" w:rsidR="007E540B" w:rsidRPr="00F7522A" w:rsidRDefault="007E540B" w:rsidP="007E540B">
            <w:pPr>
              <w:pStyle w:val="TCTableBody"/>
            </w:pPr>
          </w:p>
        </w:tc>
        <w:tc>
          <w:tcPr>
            <w:tcW w:w="2126" w:type="dxa"/>
            <w:tcBorders>
              <w:top w:val="nil"/>
              <w:left w:val="nil"/>
              <w:bottom w:val="nil"/>
              <w:right w:val="nil"/>
            </w:tcBorders>
          </w:tcPr>
          <w:p w14:paraId="72EBA8B4" w14:textId="77777777" w:rsidR="007E540B" w:rsidRPr="00F7522A" w:rsidRDefault="007E540B" w:rsidP="007E540B">
            <w:pPr>
              <w:pStyle w:val="TCTableBody"/>
            </w:pPr>
            <w:r>
              <w:t>Coating R</w:t>
            </w:r>
            <w:r w:rsidRPr="00ED4AEC">
              <w:rPr>
                <w:vertAlign w:val="subscript"/>
              </w:rPr>
              <w:t>A</w:t>
            </w:r>
          </w:p>
        </w:tc>
        <w:tc>
          <w:tcPr>
            <w:tcW w:w="1839" w:type="dxa"/>
            <w:tcBorders>
              <w:top w:val="nil"/>
              <w:left w:val="nil"/>
              <w:bottom w:val="nil"/>
              <w:right w:val="nil"/>
            </w:tcBorders>
            <w:vAlign w:val="center"/>
          </w:tcPr>
          <w:p w14:paraId="55B3E724" w14:textId="77777777" w:rsidR="007E540B" w:rsidRPr="00F7522A" w:rsidRDefault="007E540B" w:rsidP="007E540B">
            <w:pPr>
              <w:pStyle w:val="TCTableBody"/>
            </w:pPr>
            <w:r w:rsidRPr="00AC1A16">
              <w:rPr>
                <w:szCs w:val="24"/>
              </w:rPr>
              <w:t>1</w:t>
            </w:r>
            <w:r>
              <w:rPr>
                <w:szCs w:val="24"/>
              </w:rPr>
              <w:t>0.90</w:t>
            </w:r>
            <w:r w:rsidRPr="00AC1A16">
              <w:rPr>
                <w:szCs w:val="24"/>
              </w:rPr>
              <w:t>±0.</w:t>
            </w:r>
            <w:r>
              <w:rPr>
                <w:szCs w:val="24"/>
              </w:rPr>
              <w:t>70</w:t>
            </w:r>
          </w:p>
        </w:tc>
        <w:tc>
          <w:tcPr>
            <w:tcW w:w="1840" w:type="dxa"/>
            <w:tcBorders>
              <w:top w:val="nil"/>
              <w:left w:val="nil"/>
              <w:bottom w:val="nil"/>
              <w:right w:val="nil"/>
            </w:tcBorders>
          </w:tcPr>
          <w:p w14:paraId="71B743B1" w14:textId="77777777" w:rsidR="007E540B" w:rsidRPr="00F7522A" w:rsidRDefault="007E540B" w:rsidP="007E540B">
            <w:pPr>
              <w:pStyle w:val="TCTableBody"/>
            </w:pPr>
            <w:r w:rsidRPr="00AC1A16">
              <w:rPr>
                <w:szCs w:val="24"/>
              </w:rPr>
              <w:t>13.13±0.90</w:t>
            </w:r>
          </w:p>
        </w:tc>
      </w:tr>
      <w:tr w:rsidR="007E540B" w14:paraId="14FFF412" w14:textId="77777777" w:rsidTr="00EA1A18">
        <w:trPr>
          <w:trHeight w:val="142"/>
        </w:trPr>
        <w:tc>
          <w:tcPr>
            <w:tcW w:w="2689" w:type="dxa"/>
            <w:vMerge/>
            <w:tcBorders>
              <w:left w:val="nil"/>
              <w:right w:val="nil"/>
            </w:tcBorders>
          </w:tcPr>
          <w:p w14:paraId="648A3FEC" w14:textId="77777777" w:rsidR="007E540B" w:rsidRPr="00F7522A" w:rsidRDefault="007E540B" w:rsidP="007E540B">
            <w:pPr>
              <w:pStyle w:val="TCTableBody"/>
            </w:pPr>
          </w:p>
        </w:tc>
        <w:tc>
          <w:tcPr>
            <w:tcW w:w="2126" w:type="dxa"/>
            <w:tcBorders>
              <w:top w:val="nil"/>
              <w:left w:val="nil"/>
              <w:bottom w:val="nil"/>
              <w:right w:val="nil"/>
            </w:tcBorders>
          </w:tcPr>
          <w:p w14:paraId="26C32AAF" w14:textId="77777777" w:rsidR="007E540B" w:rsidRPr="00ED4AEC" w:rsidRDefault="007E540B" w:rsidP="007E540B">
            <w:pPr>
              <w:pStyle w:val="TCTableBody"/>
              <w:rPr>
                <w:vertAlign w:val="subscript"/>
              </w:rPr>
            </w:pPr>
            <w:r>
              <w:t>Coating R</w:t>
            </w:r>
            <w:r>
              <w:rPr>
                <w:vertAlign w:val="subscript"/>
              </w:rPr>
              <w:t>B</w:t>
            </w:r>
          </w:p>
        </w:tc>
        <w:tc>
          <w:tcPr>
            <w:tcW w:w="1839" w:type="dxa"/>
            <w:tcBorders>
              <w:top w:val="nil"/>
              <w:left w:val="nil"/>
              <w:bottom w:val="nil"/>
              <w:right w:val="nil"/>
            </w:tcBorders>
            <w:vAlign w:val="center"/>
          </w:tcPr>
          <w:p w14:paraId="28494F45" w14:textId="77777777" w:rsidR="007E540B" w:rsidRPr="00F7522A" w:rsidRDefault="007E540B" w:rsidP="007E540B">
            <w:pPr>
              <w:pStyle w:val="TCTableBody"/>
            </w:pPr>
            <w:r w:rsidRPr="00AC1A16">
              <w:rPr>
                <w:szCs w:val="24"/>
              </w:rPr>
              <w:t>1</w:t>
            </w:r>
            <w:r>
              <w:rPr>
                <w:szCs w:val="24"/>
              </w:rPr>
              <w:t>1.03</w:t>
            </w:r>
            <w:r w:rsidRPr="00AC1A16">
              <w:rPr>
                <w:szCs w:val="24"/>
              </w:rPr>
              <w:t>±0.28</w:t>
            </w:r>
          </w:p>
        </w:tc>
        <w:tc>
          <w:tcPr>
            <w:tcW w:w="1840" w:type="dxa"/>
            <w:tcBorders>
              <w:top w:val="nil"/>
              <w:left w:val="nil"/>
              <w:bottom w:val="nil"/>
              <w:right w:val="nil"/>
            </w:tcBorders>
          </w:tcPr>
          <w:p w14:paraId="1F72DFC9" w14:textId="77777777" w:rsidR="007E540B" w:rsidRPr="00F7522A" w:rsidRDefault="007E540B" w:rsidP="007E540B">
            <w:pPr>
              <w:pStyle w:val="TCTableBody"/>
            </w:pPr>
            <w:r w:rsidRPr="00AC1A16">
              <w:rPr>
                <w:szCs w:val="24"/>
              </w:rPr>
              <w:t>13.09±0.19</w:t>
            </w:r>
          </w:p>
        </w:tc>
      </w:tr>
      <w:tr w:rsidR="007E540B" w14:paraId="6D4A8167" w14:textId="77777777" w:rsidTr="00EA1A18">
        <w:trPr>
          <w:trHeight w:val="142"/>
        </w:trPr>
        <w:tc>
          <w:tcPr>
            <w:tcW w:w="2689" w:type="dxa"/>
            <w:vMerge/>
            <w:tcBorders>
              <w:left w:val="nil"/>
              <w:right w:val="nil"/>
            </w:tcBorders>
          </w:tcPr>
          <w:p w14:paraId="3A43060B" w14:textId="77777777" w:rsidR="007E540B" w:rsidRPr="00F7522A" w:rsidRDefault="007E540B" w:rsidP="007E540B">
            <w:pPr>
              <w:pStyle w:val="TCTableBody"/>
            </w:pPr>
          </w:p>
        </w:tc>
        <w:tc>
          <w:tcPr>
            <w:tcW w:w="2126" w:type="dxa"/>
            <w:tcBorders>
              <w:top w:val="nil"/>
              <w:left w:val="nil"/>
              <w:bottom w:val="nil"/>
              <w:right w:val="nil"/>
            </w:tcBorders>
          </w:tcPr>
          <w:p w14:paraId="384BB3FB" w14:textId="77777777" w:rsidR="007E540B" w:rsidRPr="00F7522A" w:rsidRDefault="007E540B" w:rsidP="007E540B">
            <w:pPr>
              <w:pStyle w:val="TCTableBody"/>
            </w:pPr>
            <w:r>
              <w:t>Coating B77</w:t>
            </w:r>
          </w:p>
        </w:tc>
        <w:tc>
          <w:tcPr>
            <w:tcW w:w="1839" w:type="dxa"/>
            <w:tcBorders>
              <w:top w:val="nil"/>
              <w:left w:val="nil"/>
              <w:bottom w:val="nil"/>
              <w:right w:val="nil"/>
            </w:tcBorders>
            <w:vAlign w:val="center"/>
          </w:tcPr>
          <w:p w14:paraId="4B4471CF" w14:textId="77777777" w:rsidR="007E540B" w:rsidRPr="00F7522A" w:rsidRDefault="007E540B" w:rsidP="007E540B">
            <w:pPr>
              <w:pStyle w:val="TCTableBody"/>
            </w:pPr>
            <w:r>
              <w:t>10.31</w:t>
            </w:r>
            <w:r w:rsidRPr="00AC1A16">
              <w:rPr>
                <w:szCs w:val="24"/>
              </w:rPr>
              <w:t>±</w:t>
            </w:r>
            <w:r>
              <w:rPr>
                <w:szCs w:val="24"/>
              </w:rPr>
              <w:t>0.76</w:t>
            </w:r>
            <w:r w:rsidRPr="00AC790F">
              <w:rPr>
                <w:sz w:val="22"/>
                <w:szCs w:val="22"/>
                <w:vertAlign w:val="superscript"/>
              </w:rPr>
              <w:t>(b)</w:t>
            </w:r>
          </w:p>
        </w:tc>
        <w:tc>
          <w:tcPr>
            <w:tcW w:w="1840" w:type="dxa"/>
            <w:tcBorders>
              <w:top w:val="nil"/>
              <w:left w:val="nil"/>
              <w:bottom w:val="nil"/>
              <w:right w:val="nil"/>
            </w:tcBorders>
          </w:tcPr>
          <w:p w14:paraId="1BCEF2EF" w14:textId="77777777" w:rsidR="007E540B" w:rsidRPr="00F7522A" w:rsidRDefault="007E540B" w:rsidP="007E540B">
            <w:pPr>
              <w:pStyle w:val="TCTableBody"/>
            </w:pPr>
            <w:r>
              <w:t>11.98</w:t>
            </w:r>
            <w:r w:rsidRPr="00AC1A16">
              <w:rPr>
                <w:szCs w:val="24"/>
              </w:rPr>
              <w:t>±</w:t>
            </w:r>
            <w:r>
              <w:rPr>
                <w:szCs w:val="24"/>
              </w:rPr>
              <w:t>0.19</w:t>
            </w:r>
            <w:r w:rsidRPr="00AC790F">
              <w:rPr>
                <w:sz w:val="22"/>
                <w:szCs w:val="22"/>
                <w:vertAlign w:val="superscript"/>
              </w:rPr>
              <w:t>(b)</w:t>
            </w:r>
          </w:p>
        </w:tc>
      </w:tr>
      <w:tr w:rsidR="007E540B" w14:paraId="5AC393B5" w14:textId="77777777" w:rsidTr="00EA1A18">
        <w:trPr>
          <w:trHeight w:val="142"/>
        </w:trPr>
        <w:tc>
          <w:tcPr>
            <w:tcW w:w="2689" w:type="dxa"/>
            <w:vMerge/>
            <w:tcBorders>
              <w:left w:val="nil"/>
              <w:right w:val="nil"/>
            </w:tcBorders>
          </w:tcPr>
          <w:p w14:paraId="5E5350AA" w14:textId="77777777" w:rsidR="007E540B" w:rsidRPr="00F7522A" w:rsidRDefault="007E540B" w:rsidP="007E540B">
            <w:pPr>
              <w:pStyle w:val="TCTableBody"/>
            </w:pPr>
          </w:p>
        </w:tc>
        <w:tc>
          <w:tcPr>
            <w:tcW w:w="2126" w:type="dxa"/>
            <w:tcBorders>
              <w:top w:val="nil"/>
              <w:left w:val="nil"/>
              <w:bottom w:val="single" w:sz="4" w:space="0" w:color="auto"/>
              <w:right w:val="nil"/>
            </w:tcBorders>
          </w:tcPr>
          <w:p w14:paraId="3D4A7A86" w14:textId="77777777" w:rsidR="007E540B" w:rsidRPr="00F7522A" w:rsidRDefault="007E540B" w:rsidP="007E540B">
            <w:pPr>
              <w:pStyle w:val="TCTableBody"/>
            </w:pPr>
            <w:r>
              <w:t>Coating Quidedur</w:t>
            </w:r>
          </w:p>
        </w:tc>
        <w:tc>
          <w:tcPr>
            <w:tcW w:w="1839" w:type="dxa"/>
            <w:tcBorders>
              <w:top w:val="nil"/>
              <w:left w:val="nil"/>
              <w:bottom w:val="single" w:sz="4" w:space="0" w:color="auto"/>
              <w:right w:val="nil"/>
            </w:tcBorders>
          </w:tcPr>
          <w:p w14:paraId="6D4B4EAD" w14:textId="77777777" w:rsidR="007E540B" w:rsidRPr="00F7522A" w:rsidRDefault="007E540B" w:rsidP="007E540B">
            <w:pPr>
              <w:pStyle w:val="TCTableBody"/>
            </w:pPr>
            <w:r>
              <w:t>11.52</w:t>
            </w:r>
            <w:r w:rsidRPr="00AC1A16">
              <w:rPr>
                <w:szCs w:val="24"/>
              </w:rPr>
              <w:t>±</w:t>
            </w:r>
            <w:r>
              <w:rPr>
                <w:szCs w:val="24"/>
              </w:rPr>
              <w:t>0.38</w:t>
            </w:r>
          </w:p>
        </w:tc>
        <w:tc>
          <w:tcPr>
            <w:tcW w:w="1840" w:type="dxa"/>
            <w:tcBorders>
              <w:top w:val="nil"/>
              <w:left w:val="nil"/>
              <w:bottom w:val="single" w:sz="4" w:space="0" w:color="auto"/>
              <w:right w:val="nil"/>
            </w:tcBorders>
          </w:tcPr>
          <w:p w14:paraId="7D16478B" w14:textId="77777777" w:rsidR="007E540B" w:rsidRPr="00F7522A" w:rsidRDefault="007E540B" w:rsidP="007E540B">
            <w:pPr>
              <w:pStyle w:val="TCTableBody"/>
            </w:pPr>
            <w:r>
              <w:t>13.54</w:t>
            </w:r>
            <w:r w:rsidRPr="00AC1A16">
              <w:rPr>
                <w:szCs w:val="24"/>
              </w:rPr>
              <w:t>±</w:t>
            </w:r>
            <w:r>
              <w:rPr>
                <w:szCs w:val="24"/>
              </w:rPr>
              <w:t>0.29</w:t>
            </w:r>
            <w:r w:rsidRPr="00AC790F">
              <w:rPr>
                <w:sz w:val="22"/>
                <w:szCs w:val="22"/>
                <w:vertAlign w:val="superscript"/>
              </w:rPr>
              <w:t>(1-b)</w:t>
            </w:r>
          </w:p>
        </w:tc>
      </w:tr>
      <w:tr w:rsidR="007E540B" w14:paraId="721C3AEB" w14:textId="77777777" w:rsidTr="00EA1A18">
        <w:trPr>
          <w:trHeight w:val="146"/>
        </w:trPr>
        <w:tc>
          <w:tcPr>
            <w:tcW w:w="2689" w:type="dxa"/>
            <w:vMerge w:val="restart"/>
            <w:tcBorders>
              <w:left w:val="nil"/>
              <w:right w:val="nil"/>
            </w:tcBorders>
            <w:vAlign w:val="center"/>
          </w:tcPr>
          <w:p w14:paraId="1C067C78" w14:textId="77777777" w:rsidR="007E540B" w:rsidRPr="00F7522A" w:rsidRDefault="007E540B" w:rsidP="007E540B">
            <w:pPr>
              <w:pStyle w:val="TCTableBody"/>
            </w:pPr>
            <w:r w:rsidRPr="00F7522A">
              <w:t>Weight Percentage Gain</w:t>
            </w:r>
          </w:p>
          <w:p w14:paraId="3FE1C8C8" w14:textId="77777777" w:rsidR="007E540B" w:rsidRPr="00F7522A" w:rsidRDefault="007E540B" w:rsidP="007E540B">
            <w:pPr>
              <w:pStyle w:val="TCTableBody"/>
            </w:pPr>
            <w:r w:rsidRPr="00F7522A">
              <w:t>(%)</w:t>
            </w:r>
          </w:p>
        </w:tc>
        <w:tc>
          <w:tcPr>
            <w:tcW w:w="2126" w:type="dxa"/>
            <w:tcBorders>
              <w:top w:val="single" w:sz="4" w:space="0" w:color="auto"/>
              <w:left w:val="nil"/>
              <w:bottom w:val="nil"/>
              <w:right w:val="nil"/>
            </w:tcBorders>
          </w:tcPr>
          <w:p w14:paraId="53E07B8B" w14:textId="77777777" w:rsidR="007E540B" w:rsidRPr="00F7522A" w:rsidRDefault="007E540B" w:rsidP="007E540B">
            <w:pPr>
              <w:pStyle w:val="TCTableBody"/>
            </w:pPr>
            <w:r>
              <w:t>Coating Reference</w:t>
            </w:r>
          </w:p>
        </w:tc>
        <w:tc>
          <w:tcPr>
            <w:tcW w:w="1839" w:type="dxa"/>
            <w:tcBorders>
              <w:top w:val="single" w:sz="4" w:space="0" w:color="auto"/>
              <w:left w:val="nil"/>
              <w:bottom w:val="nil"/>
              <w:right w:val="nil"/>
            </w:tcBorders>
          </w:tcPr>
          <w:p w14:paraId="65F069FF" w14:textId="77777777" w:rsidR="007E540B" w:rsidRPr="00F7522A" w:rsidRDefault="007E540B" w:rsidP="007E540B">
            <w:pPr>
              <w:pStyle w:val="TCTableBody"/>
            </w:pPr>
            <w:r>
              <w:t>31.37</w:t>
            </w:r>
            <w:r w:rsidRPr="00AC1A16">
              <w:rPr>
                <w:szCs w:val="24"/>
              </w:rPr>
              <w:t>±</w:t>
            </w:r>
            <w:r>
              <w:rPr>
                <w:szCs w:val="24"/>
              </w:rPr>
              <w:t>1.36</w:t>
            </w:r>
            <w:r w:rsidRPr="00AC790F">
              <w:rPr>
                <w:sz w:val="22"/>
                <w:szCs w:val="22"/>
                <w:vertAlign w:val="superscript"/>
              </w:rPr>
              <w:t>(a)</w:t>
            </w:r>
          </w:p>
        </w:tc>
        <w:tc>
          <w:tcPr>
            <w:tcW w:w="1840" w:type="dxa"/>
            <w:tcBorders>
              <w:top w:val="single" w:sz="4" w:space="0" w:color="auto"/>
              <w:left w:val="nil"/>
              <w:bottom w:val="nil"/>
              <w:right w:val="nil"/>
            </w:tcBorders>
          </w:tcPr>
          <w:p w14:paraId="531F480F" w14:textId="77777777" w:rsidR="007E540B" w:rsidRPr="00F7522A" w:rsidRDefault="007E540B" w:rsidP="007E540B">
            <w:pPr>
              <w:pStyle w:val="TCTableBody"/>
            </w:pPr>
            <w:r>
              <w:t>45.79</w:t>
            </w:r>
            <w:r w:rsidRPr="00AC1A16">
              <w:rPr>
                <w:szCs w:val="24"/>
              </w:rPr>
              <w:t>±</w:t>
            </w:r>
            <w:r>
              <w:rPr>
                <w:szCs w:val="24"/>
              </w:rPr>
              <w:t>3.16</w:t>
            </w:r>
            <w:r w:rsidRPr="00AC790F">
              <w:rPr>
                <w:sz w:val="22"/>
                <w:szCs w:val="22"/>
                <w:vertAlign w:val="superscript"/>
              </w:rPr>
              <w:t>(a)</w:t>
            </w:r>
          </w:p>
        </w:tc>
      </w:tr>
      <w:tr w:rsidR="007E540B" w14:paraId="651AD7AA" w14:textId="77777777" w:rsidTr="00EA1A18">
        <w:trPr>
          <w:trHeight w:val="142"/>
        </w:trPr>
        <w:tc>
          <w:tcPr>
            <w:tcW w:w="2689" w:type="dxa"/>
            <w:vMerge/>
            <w:tcBorders>
              <w:left w:val="nil"/>
              <w:right w:val="nil"/>
            </w:tcBorders>
          </w:tcPr>
          <w:p w14:paraId="400D308C" w14:textId="77777777" w:rsidR="007E540B" w:rsidRDefault="007E540B" w:rsidP="007E540B"/>
        </w:tc>
        <w:tc>
          <w:tcPr>
            <w:tcW w:w="2126" w:type="dxa"/>
            <w:tcBorders>
              <w:top w:val="nil"/>
              <w:left w:val="nil"/>
              <w:bottom w:val="nil"/>
              <w:right w:val="nil"/>
            </w:tcBorders>
          </w:tcPr>
          <w:p w14:paraId="550C4958" w14:textId="77777777" w:rsidR="007E540B" w:rsidRDefault="007E540B" w:rsidP="007E540B">
            <w:r>
              <w:t>Coating R</w:t>
            </w:r>
            <w:r w:rsidRPr="00EB7447">
              <w:rPr>
                <w:vertAlign w:val="subscript"/>
              </w:rPr>
              <w:t>A</w:t>
            </w:r>
          </w:p>
        </w:tc>
        <w:tc>
          <w:tcPr>
            <w:tcW w:w="1839" w:type="dxa"/>
            <w:tcBorders>
              <w:top w:val="nil"/>
              <w:left w:val="nil"/>
              <w:bottom w:val="nil"/>
              <w:right w:val="nil"/>
            </w:tcBorders>
            <w:vAlign w:val="center"/>
          </w:tcPr>
          <w:p w14:paraId="536690AE" w14:textId="77777777" w:rsidR="007E540B" w:rsidRDefault="007E540B" w:rsidP="007E540B">
            <w:r w:rsidRPr="00AC1A16">
              <w:rPr>
                <w:szCs w:val="24"/>
              </w:rPr>
              <w:t>36.63±3.04</w:t>
            </w:r>
          </w:p>
        </w:tc>
        <w:tc>
          <w:tcPr>
            <w:tcW w:w="1840" w:type="dxa"/>
            <w:tcBorders>
              <w:top w:val="nil"/>
              <w:left w:val="nil"/>
              <w:bottom w:val="nil"/>
              <w:right w:val="nil"/>
            </w:tcBorders>
            <w:vAlign w:val="center"/>
          </w:tcPr>
          <w:p w14:paraId="20C949A4" w14:textId="77777777" w:rsidR="007E540B" w:rsidRDefault="007E540B" w:rsidP="007E540B">
            <w:r w:rsidRPr="00AC1A16">
              <w:rPr>
                <w:szCs w:val="24"/>
              </w:rPr>
              <w:t>46.74±0.40</w:t>
            </w:r>
            <w:r w:rsidRPr="00AC790F">
              <w:rPr>
                <w:sz w:val="22"/>
                <w:szCs w:val="22"/>
                <w:vertAlign w:val="superscript"/>
              </w:rPr>
              <w:t>(b)</w:t>
            </w:r>
          </w:p>
        </w:tc>
      </w:tr>
      <w:tr w:rsidR="007E540B" w14:paraId="3A73A877" w14:textId="77777777" w:rsidTr="00EA1A18">
        <w:trPr>
          <w:trHeight w:val="142"/>
        </w:trPr>
        <w:tc>
          <w:tcPr>
            <w:tcW w:w="2689" w:type="dxa"/>
            <w:vMerge/>
            <w:tcBorders>
              <w:left w:val="nil"/>
              <w:right w:val="nil"/>
            </w:tcBorders>
          </w:tcPr>
          <w:p w14:paraId="51D092B6" w14:textId="77777777" w:rsidR="007E540B" w:rsidRDefault="007E540B" w:rsidP="007E540B"/>
        </w:tc>
        <w:tc>
          <w:tcPr>
            <w:tcW w:w="2126" w:type="dxa"/>
            <w:tcBorders>
              <w:top w:val="nil"/>
              <w:left w:val="nil"/>
              <w:bottom w:val="nil"/>
              <w:right w:val="nil"/>
            </w:tcBorders>
          </w:tcPr>
          <w:p w14:paraId="499936EB" w14:textId="77777777" w:rsidR="007E540B" w:rsidRDefault="007E540B" w:rsidP="007E540B">
            <w:r>
              <w:t>Coating R</w:t>
            </w:r>
            <w:r>
              <w:rPr>
                <w:vertAlign w:val="subscript"/>
              </w:rPr>
              <w:t>B</w:t>
            </w:r>
          </w:p>
        </w:tc>
        <w:tc>
          <w:tcPr>
            <w:tcW w:w="1839" w:type="dxa"/>
            <w:tcBorders>
              <w:top w:val="nil"/>
              <w:left w:val="nil"/>
              <w:bottom w:val="nil"/>
              <w:right w:val="nil"/>
            </w:tcBorders>
          </w:tcPr>
          <w:p w14:paraId="15DCB74E" w14:textId="77777777" w:rsidR="007E540B" w:rsidRDefault="007E540B" w:rsidP="007E540B">
            <w:r w:rsidRPr="00AC1A16">
              <w:rPr>
                <w:szCs w:val="24"/>
              </w:rPr>
              <w:t>32.37±0.10</w:t>
            </w:r>
            <w:r w:rsidRPr="00AC790F">
              <w:rPr>
                <w:sz w:val="22"/>
                <w:szCs w:val="22"/>
                <w:vertAlign w:val="superscript"/>
              </w:rPr>
              <w:t>(b)</w:t>
            </w:r>
          </w:p>
        </w:tc>
        <w:tc>
          <w:tcPr>
            <w:tcW w:w="1840" w:type="dxa"/>
            <w:tcBorders>
              <w:top w:val="nil"/>
              <w:left w:val="nil"/>
              <w:bottom w:val="nil"/>
              <w:right w:val="nil"/>
            </w:tcBorders>
          </w:tcPr>
          <w:p w14:paraId="4F70EE52" w14:textId="77777777" w:rsidR="007E540B" w:rsidRDefault="007E540B" w:rsidP="007E540B">
            <w:r w:rsidRPr="00AC1A16">
              <w:rPr>
                <w:szCs w:val="24"/>
              </w:rPr>
              <w:t>47.74±1.59</w:t>
            </w:r>
          </w:p>
        </w:tc>
      </w:tr>
      <w:tr w:rsidR="007E540B" w14:paraId="2E2BA2D5" w14:textId="77777777" w:rsidTr="00EA1A18">
        <w:trPr>
          <w:trHeight w:val="142"/>
        </w:trPr>
        <w:tc>
          <w:tcPr>
            <w:tcW w:w="2689" w:type="dxa"/>
            <w:vMerge/>
            <w:tcBorders>
              <w:left w:val="nil"/>
              <w:right w:val="nil"/>
            </w:tcBorders>
          </w:tcPr>
          <w:p w14:paraId="0212AD8F" w14:textId="77777777" w:rsidR="007E540B" w:rsidRDefault="007E540B" w:rsidP="007E540B"/>
        </w:tc>
        <w:tc>
          <w:tcPr>
            <w:tcW w:w="2126" w:type="dxa"/>
            <w:tcBorders>
              <w:top w:val="nil"/>
              <w:left w:val="nil"/>
              <w:bottom w:val="nil"/>
              <w:right w:val="nil"/>
            </w:tcBorders>
          </w:tcPr>
          <w:p w14:paraId="2198EFA3" w14:textId="77777777" w:rsidR="007E540B" w:rsidRDefault="007E540B" w:rsidP="007E540B">
            <w:r>
              <w:t>Coating B77</w:t>
            </w:r>
          </w:p>
        </w:tc>
        <w:tc>
          <w:tcPr>
            <w:tcW w:w="1839" w:type="dxa"/>
            <w:tcBorders>
              <w:top w:val="nil"/>
              <w:left w:val="nil"/>
              <w:bottom w:val="nil"/>
              <w:right w:val="nil"/>
            </w:tcBorders>
            <w:vAlign w:val="center"/>
          </w:tcPr>
          <w:p w14:paraId="032E0BE6" w14:textId="77777777" w:rsidR="007E540B" w:rsidRDefault="007E540B" w:rsidP="007E540B">
            <w:r>
              <w:t>36.48</w:t>
            </w:r>
            <w:r w:rsidRPr="00AC1A16">
              <w:rPr>
                <w:szCs w:val="24"/>
              </w:rPr>
              <w:t>±</w:t>
            </w:r>
            <w:r>
              <w:rPr>
                <w:szCs w:val="24"/>
              </w:rPr>
              <w:t>2.50</w:t>
            </w:r>
          </w:p>
        </w:tc>
        <w:tc>
          <w:tcPr>
            <w:tcW w:w="1840" w:type="dxa"/>
            <w:tcBorders>
              <w:top w:val="nil"/>
              <w:left w:val="nil"/>
              <w:bottom w:val="nil"/>
              <w:right w:val="nil"/>
            </w:tcBorders>
            <w:vAlign w:val="center"/>
          </w:tcPr>
          <w:p w14:paraId="188B2C35" w14:textId="77777777" w:rsidR="007E540B" w:rsidRDefault="007E540B" w:rsidP="007E540B">
            <w:r>
              <w:t>47.14</w:t>
            </w:r>
            <w:r w:rsidRPr="00AC1A16">
              <w:rPr>
                <w:szCs w:val="24"/>
              </w:rPr>
              <w:t>±</w:t>
            </w:r>
            <w:r>
              <w:rPr>
                <w:szCs w:val="24"/>
              </w:rPr>
              <w:t>1.89</w:t>
            </w:r>
            <w:r w:rsidRPr="00AC790F">
              <w:rPr>
                <w:sz w:val="22"/>
                <w:szCs w:val="22"/>
                <w:vertAlign w:val="superscript"/>
              </w:rPr>
              <w:t>(c)</w:t>
            </w:r>
          </w:p>
        </w:tc>
      </w:tr>
      <w:tr w:rsidR="007E540B" w14:paraId="3DF78DA9" w14:textId="77777777" w:rsidTr="00EA1A18">
        <w:trPr>
          <w:trHeight w:val="142"/>
        </w:trPr>
        <w:tc>
          <w:tcPr>
            <w:tcW w:w="2689" w:type="dxa"/>
            <w:vMerge/>
            <w:tcBorders>
              <w:left w:val="nil"/>
              <w:bottom w:val="single" w:sz="4" w:space="0" w:color="auto"/>
              <w:right w:val="nil"/>
            </w:tcBorders>
          </w:tcPr>
          <w:p w14:paraId="5B128AFC" w14:textId="77777777" w:rsidR="007E540B" w:rsidRDefault="007E540B" w:rsidP="007E540B"/>
        </w:tc>
        <w:tc>
          <w:tcPr>
            <w:tcW w:w="2126" w:type="dxa"/>
            <w:tcBorders>
              <w:top w:val="nil"/>
              <w:left w:val="nil"/>
              <w:bottom w:val="single" w:sz="4" w:space="0" w:color="auto"/>
              <w:right w:val="nil"/>
            </w:tcBorders>
          </w:tcPr>
          <w:p w14:paraId="716ADBEE" w14:textId="77777777" w:rsidR="007E540B" w:rsidRDefault="007E540B" w:rsidP="007E540B">
            <w:r>
              <w:t>Coating Quidedur</w:t>
            </w:r>
          </w:p>
        </w:tc>
        <w:tc>
          <w:tcPr>
            <w:tcW w:w="1839" w:type="dxa"/>
            <w:tcBorders>
              <w:top w:val="nil"/>
              <w:left w:val="nil"/>
              <w:bottom w:val="single" w:sz="4" w:space="0" w:color="auto"/>
              <w:right w:val="nil"/>
            </w:tcBorders>
          </w:tcPr>
          <w:p w14:paraId="2B84395D" w14:textId="77777777" w:rsidR="007E540B" w:rsidRDefault="007E540B" w:rsidP="007E540B">
            <w:r>
              <w:t>42.82</w:t>
            </w:r>
            <w:r w:rsidRPr="00AC1A16">
              <w:rPr>
                <w:szCs w:val="24"/>
              </w:rPr>
              <w:t>±</w:t>
            </w:r>
            <w:r>
              <w:rPr>
                <w:szCs w:val="24"/>
              </w:rPr>
              <w:t>1.11</w:t>
            </w:r>
            <w:r w:rsidRPr="00AC790F">
              <w:rPr>
                <w:sz w:val="22"/>
                <w:szCs w:val="22"/>
                <w:vertAlign w:val="superscript"/>
              </w:rPr>
              <w:t>(1-a,b)</w:t>
            </w:r>
          </w:p>
        </w:tc>
        <w:tc>
          <w:tcPr>
            <w:tcW w:w="1840" w:type="dxa"/>
            <w:tcBorders>
              <w:top w:val="nil"/>
              <w:left w:val="nil"/>
              <w:bottom w:val="single" w:sz="4" w:space="0" w:color="auto"/>
              <w:right w:val="nil"/>
            </w:tcBorders>
          </w:tcPr>
          <w:p w14:paraId="0A998107" w14:textId="77777777" w:rsidR="007E540B" w:rsidRDefault="007E540B" w:rsidP="007E540B">
            <w:r>
              <w:t>55.34</w:t>
            </w:r>
            <w:r w:rsidRPr="00AC1A16">
              <w:rPr>
                <w:szCs w:val="24"/>
              </w:rPr>
              <w:t>±</w:t>
            </w:r>
            <w:r>
              <w:rPr>
                <w:szCs w:val="24"/>
              </w:rPr>
              <w:t>2.46</w:t>
            </w:r>
            <w:r w:rsidRPr="00AC790F">
              <w:rPr>
                <w:sz w:val="22"/>
                <w:szCs w:val="22"/>
                <w:vertAlign w:val="superscript"/>
              </w:rPr>
              <w:t>(1-a,b,c)</w:t>
            </w:r>
          </w:p>
        </w:tc>
      </w:tr>
      <w:tr w:rsidR="007E540B" w14:paraId="01B1FB23" w14:textId="77777777" w:rsidTr="00EA1A18">
        <w:trPr>
          <w:trHeight w:val="142"/>
        </w:trPr>
        <w:tc>
          <w:tcPr>
            <w:tcW w:w="8494" w:type="dxa"/>
            <w:gridSpan w:val="4"/>
            <w:tcBorders>
              <w:left w:val="nil"/>
              <w:bottom w:val="nil"/>
              <w:right w:val="nil"/>
            </w:tcBorders>
          </w:tcPr>
          <w:p w14:paraId="6C83CD43" w14:textId="77777777" w:rsidR="001C1271" w:rsidRDefault="007E540B" w:rsidP="007E540B">
            <w:pPr>
              <w:spacing w:after="0"/>
              <w:rPr>
                <w:sz w:val="18"/>
                <w:szCs w:val="18"/>
              </w:rPr>
            </w:pPr>
            <w:r w:rsidRPr="00FA54CE">
              <w:rPr>
                <w:sz w:val="18"/>
                <w:szCs w:val="18"/>
              </w:rPr>
              <w:t>ANOVAOneWay: The population means are significant</w:t>
            </w:r>
            <w:r w:rsidR="001C1271">
              <w:rPr>
                <w:sz w:val="18"/>
                <w:szCs w:val="18"/>
              </w:rPr>
              <w:t>ly different at the 0.05 level.</w:t>
            </w:r>
          </w:p>
          <w:p w14:paraId="5D025500" w14:textId="7AE98AEE" w:rsidR="007E540B" w:rsidRPr="00FA54CE" w:rsidRDefault="007E540B" w:rsidP="007E540B">
            <w:pPr>
              <w:spacing w:after="0"/>
              <w:rPr>
                <w:sz w:val="18"/>
                <w:szCs w:val="18"/>
              </w:rPr>
            </w:pPr>
            <w:r w:rsidRPr="00FA54CE">
              <w:rPr>
                <w:sz w:val="18"/>
                <w:szCs w:val="18"/>
              </w:rPr>
              <w:t>Bonferroni and Tukey test among the same wood specie:</w:t>
            </w:r>
            <w:r w:rsidRPr="00FA54CE">
              <w:rPr>
                <w:sz w:val="18"/>
                <w:szCs w:val="18"/>
                <w:vertAlign w:val="superscript"/>
              </w:rPr>
              <w:t xml:space="preserve"> 1 </w:t>
            </w:r>
            <w:r w:rsidRPr="00FA54CE">
              <w:rPr>
                <w:sz w:val="18"/>
                <w:szCs w:val="18"/>
              </w:rPr>
              <w:t>The difference of the mean is significantly different to the specific samples (a,b,c)  at the 0.05 level. No superscript indicates that the difference of the mean is not significant at the 0.05 level.</w:t>
            </w:r>
          </w:p>
          <w:p w14:paraId="3D83BB37" w14:textId="77777777" w:rsidR="007E540B" w:rsidRDefault="007E540B" w:rsidP="007E540B"/>
        </w:tc>
      </w:tr>
    </w:tbl>
    <w:p w14:paraId="25338D69" w14:textId="77777777" w:rsidR="007E540B" w:rsidRPr="00F7522A" w:rsidRDefault="007E540B" w:rsidP="00EA1A18"/>
    <w:p w14:paraId="4C264978" w14:textId="1EC1F25B" w:rsidR="002F0199" w:rsidRPr="00AC1A16" w:rsidRDefault="0036292E" w:rsidP="000026B6">
      <w:pPr>
        <w:pStyle w:val="TAMainText"/>
        <w:spacing w:before="360"/>
        <w:ind w:firstLine="204"/>
      </w:pPr>
      <w:r w:rsidRPr="00AC1A16">
        <w:t xml:space="preserve">As shown </w:t>
      </w:r>
      <w:r w:rsidR="00243E90" w:rsidRPr="00AC1A16">
        <w:t>in the previous table</w:t>
      </w:r>
      <w:r w:rsidRPr="00AC1A16">
        <w:t xml:space="preserve">, the coated wood samples of </w:t>
      </w:r>
      <w:r w:rsidR="00FE0ACA" w:rsidRPr="00AC1A16">
        <w:t>b</w:t>
      </w:r>
      <w:r w:rsidR="008616D1" w:rsidRPr="00AC1A16">
        <w:t>eech</w:t>
      </w:r>
      <w:r w:rsidRPr="00AC1A16">
        <w:t xml:space="preserve"> displayed a higher weight percentage gain (WPG) than the </w:t>
      </w:r>
      <w:r w:rsidR="00FE0ACA" w:rsidRPr="00AC1A16">
        <w:t>m</w:t>
      </w:r>
      <w:r w:rsidR="008616D1" w:rsidRPr="00AC1A16">
        <w:t>aritime pine</w:t>
      </w:r>
      <w:r w:rsidRPr="00AC1A16">
        <w:t xml:space="preserve"> ones. This means that a greater degree of retention of the coating was achieved on the former wood species.</w:t>
      </w:r>
      <w:r w:rsidR="00A93D9F" w:rsidRPr="00AC1A16">
        <w:t xml:space="preserve"> </w:t>
      </w:r>
      <w:r w:rsidR="000B60B9" w:rsidRPr="00AC1A16">
        <w:t>The surface preparation can have some influence on the coating penetration because sanding reduces the number of open-cell capillaries in which the product can flow</w:t>
      </w:r>
      <w:r w:rsidR="003B26AB" w:rsidRPr="00AC1A16">
        <w:fldChar w:fldCharType="begin" w:fldLock="1"/>
      </w:r>
      <w:r w:rsidR="00841217">
        <w:instrText>ADDIN CSL_CITATION { "citationItems" : [ { "id" : "ITEM-1", "itemData" : { "ISBN" : "9780080931609", "abstract" : "Wood Coatings addresses the factors responsible for the performance of wood coatings in both domestic and industrial situations. The term 'wood coatings' covers a broad range of products including stains, varnishes, paints and supporting ancillary products that may be used indoors or outdoors. Techniques for coating wood go back many centuries but in recent decades there has been a move towards more environmentally-friendly materials, for example, the use of water-borne rather than solvent-borne chemicals. A major objective of Wood Coatings is to explain the underlying factors that influence selection, application and general operational issues. Basic information on the chemistry and technology of coatings is included for the benefit of students and laboratory technicians. Additionally, the book includes individual chapters of interest to architects, specifiers, and industrial users. Markets for wood and wood coatings -- Wood and wood-based substrates -- Raw materials for wood coatings --Classification and formulation of wood coatings -- Properties of wood coatings -- Testing and characterisation -- Market needs and end uses (1) -- Architectural (decorative) wood coatings -- Market needs and end uses (2) -- Industrial wood coatings -- Operational aspects of wood coatings: application and surface preparation -- Film formation: drying and curing -- Film formation by evaporation of solvent from solution: physical drying.", "author" : [ { "dropping-particle" : "", "family" : "Bulian", "given" : "Franco.", "non-dropping-particle" : "", "parse-names" : false, "suffix" : "" }, { "dropping-particle" : "", "family" : "Graystone", "given" : "Jon.", "non-dropping-particle" : "", "parse-names" : false, "suffix" : "" } ], "id" : "ITEM-1", "issued" : { "date-parts" : [ [ "2009" ] ] }, "number-of-pages" : "320", "publisher" : "Elsevier Science", "title" : "Wood coatings : theory and practice", "type" : "book" }, "uris" : [ "http://www.mendeley.com/documents/?uuid=2de22bcb-26c8-399a-b64a-abcfffa2f230" ] } ], "mendeley" : { "formattedCitation" : "&lt;sup&gt;24&lt;/sup&gt;", "plainTextFormattedCitation" : "24", "previouslyFormattedCitation" : "&lt;sup&gt;24&lt;/sup&gt;" }, "properties" : {  }, "schema" : "https://github.com/citation-style-language/schema/raw/master/csl-citation.json" }</w:instrText>
      </w:r>
      <w:r w:rsidR="003B26AB" w:rsidRPr="00AC1A16">
        <w:fldChar w:fldCharType="separate"/>
      </w:r>
      <w:r w:rsidR="00841217" w:rsidRPr="00841217">
        <w:rPr>
          <w:noProof/>
          <w:vertAlign w:val="superscript"/>
        </w:rPr>
        <w:t>24</w:t>
      </w:r>
      <w:r w:rsidR="003B26AB" w:rsidRPr="00AC1A16">
        <w:fldChar w:fldCharType="end"/>
      </w:r>
      <w:r w:rsidR="003B26AB" w:rsidRPr="00AC1A16">
        <w:t>.</w:t>
      </w:r>
      <w:r w:rsidR="000B60B9" w:rsidRPr="00AC1A16">
        <w:t xml:space="preserve"> </w:t>
      </w:r>
      <w:r w:rsidR="003B26AB" w:rsidRPr="00AC1A16">
        <w:t>Nevertheless</w:t>
      </w:r>
      <w:r w:rsidR="000B60B9" w:rsidRPr="00AC1A16">
        <w:t>, the substrate preparation was similar in both tested species.</w:t>
      </w:r>
      <w:r w:rsidR="003B26AB" w:rsidRPr="00AC1A16">
        <w:t xml:space="preserve"> </w:t>
      </w:r>
      <w:r w:rsidR="00A93D9F" w:rsidRPr="00AC1A16">
        <w:t>Therefore, t</w:t>
      </w:r>
      <w:r w:rsidR="00503D9D" w:rsidRPr="00AC1A16">
        <w:t xml:space="preserve">he differences in WPG between wood species </w:t>
      </w:r>
      <w:r w:rsidR="00A93D9F" w:rsidRPr="00AC1A16">
        <w:t xml:space="preserve">would be </w:t>
      </w:r>
      <w:r w:rsidR="00503D9D" w:rsidRPr="00AC1A16">
        <w:t xml:space="preserve">mainly </w:t>
      </w:r>
      <w:r w:rsidR="003B26AB" w:rsidRPr="00AC1A16">
        <w:t>influenced</w:t>
      </w:r>
      <w:r w:rsidR="00503D9D" w:rsidRPr="00AC1A16">
        <w:t xml:space="preserve"> by the anatomical structure of each wood substrate</w:t>
      </w:r>
      <w:r w:rsidR="00C938FC" w:rsidRPr="00AC1A16">
        <w:t xml:space="preserve"> (properties presented in Annex A1 of Supporting information)</w:t>
      </w:r>
      <w:r w:rsidR="00503D9D" w:rsidRPr="00AC1A16">
        <w:t xml:space="preserve">. </w:t>
      </w:r>
      <w:r w:rsidR="000B60B9" w:rsidRPr="00AC1A16">
        <w:t>O</w:t>
      </w:r>
      <w:r w:rsidR="00503D9D" w:rsidRPr="00AC1A16">
        <w:t xml:space="preserve">n the </w:t>
      </w:r>
      <w:r w:rsidR="00855977" w:rsidRPr="00AC1A16">
        <w:t>one hand,</w:t>
      </w:r>
      <w:r w:rsidR="00503D9D" w:rsidRPr="00AC1A16">
        <w:t xml:space="preserve"> </w:t>
      </w:r>
      <w:r w:rsidR="00855977" w:rsidRPr="00AC1A16">
        <w:t xml:space="preserve">in </w:t>
      </w:r>
      <w:r w:rsidR="00503D9D" w:rsidRPr="00AC1A16">
        <w:t>the softwood specie</w:t>
      </w:r>
      <w:r w:rsidR="00855977" w:rsidRPr="00AC1A16">
        <w:t>s</w:t>
      </w:r>
      <w:r w:rsidR="00503D9D" w:rsidRPr="00AC1A16">
        <w:t xml:space="preserve"> (</w:t>
      </w:r>
      <w:r w:rsidR="008616D1" w:rsidRPr="00AC1A16">
        <w:rPr>
          <w:iCs/>
        </w:rPr>
        <w:t>maritime pine</w:t>
      </w:r>
      <w:r w:rsidR="00503D9D" w:rsidRPr="00AC1A16">
        <w:t xml:space="preserve">) </w:t>
      </w:r>
      <w:r w:rsidR="004A66EA" w:rsidRPr="00AC1A16">
        <w:t>the coating penetration</w:t>
      </w:r>
      <w:r w:rsidR="00855977" w:rsidRPr="00AC1A16">
        <w:t xml:space="preserve"> is dominated by</w:t>
      </w:r>
      <w:r w:rsidR="004A66EA" w:rsidRPr="00AC1A16">
        <w:t xml:space="preserve"> </w:t>
      </w:r>
      <w:r w:rsidR="004A66EA" w:rsidRPr="00AC1A16">
        <w:rPr>
          <w:lang w:val="en-GB"/>
        </w:rPr>
        <w:t>three mechanisms</w:t>
      </w:r>
      <w:r w:rsidR="00855977" w:rsidRPr="00AC1A16">
        <w:rPr>
          <w:lang w:val="en-GB"/>
        </w:rPr>
        <w:t xml:space="preserve">. Firstly, the outer longitudinal tracheid’s is </w:t>
      </w:r>
      <w:r w:rsidR="004A66EA" w:rsidRPr="00AC1A16">
        <w:rPr>
          <w:lang w:val="en-GB"/>
        </w:rPr>
        <w:t>fill</w:t>
      </w:r>
      <w:r w:rsidR="00855977" w:rsidRPr="00AC1A16">
        <w:rPr>
          <w:lang w:val="en-GB"/>
        </w:rPr>
        <w:t>ed</w:t>
      </w:r>
      <w:r w:rsidR="004A66EA" w:rsidRPr="00AC1A16">
        <w:rPr>
          <w:lang w:val="en-GB"/>
        </w:rPr>
        <w:t xml:space="preserve">, then </w:t>
      </w:r>
      <w:r w:rsidR="00855977" w:rsidRPr="00AC1A16">
        <w:rPr>
          <w:lang w:val="en-GB"/>
        </w:rPr>
        <w:t>the coating pass</w:t>
      </w:r>
      <w:r w:rsidR="002F0199" w:rsidRPr="00AC1A16">
        <w:rPr>
          <w:lang w:val="en-GB"/>
        </w:rPr>
        <w:t>es</w:t>
      </w:r>
      <w:r w:rsidR="00855977" w:rsidRPr="00AC1A16">
        <w:rPr>
          <w:lang w:val="en-GB"/>
        </w:rPr>
        <w:t xml:space="preserve"> </w:t>
      </w:r>
      <w:r w:rsidR="004A66EA" w:rsidRPr="00AC1A16">
        <w:rPr>
          <w:lang w:val="en-GB"/>
        </w:rPr>
        <w:t xml:space="preserve">through the rays and finally from </w:t>
      </w:r>
      <w:r w:rsidR="00855977" w:rsidRPr="00AC1A16">
        <w:rPr>
          <w:lang w:val="en-GB"/>
        </w:rPr>
        <w:t xml:space="preserve">the </w:t>
      </w:r>
      <w:r w:rsidR="004A66EA" w:rsidRPr="00AC1A16">
        <w:rPr>
          <w:lang w:val="en-GB"/>
        </w:rPr>
        <w:t>ray cells to adjacent longitudinal tracheids in the latewood</w:t>
      </w:r>
      <w:r w:rsidR="003B26AB" w:rsidRPr="00AC1A16">
        <w:rPr>
          <w:lang w:val="en-GB"/>
        </w:rPr>
        <w:fldChar w:fldCharType="begin" w:fldLock="1"/>
      </w:r>
      <w:r w:rsidR="00FF6389">
        <w:rPr>
          <w:lang w:val="en-GB"/>
        </w:rPr>
        <w:instrText>ADDIN CSL_CITATION { "citationItems" : [ { "id" : "ITEM-1", "itemData" : { "abstract" : "This paper gives a review of the state of the art of interfacial aspects in wood coatings research. It firstly covers the topics of penetration of the coatings into the wood pores from both an anatomical and a rheological point of view. Secondly results and methods for the determination of surface energies of wood are briefly reviewed. Thirdly the existing knowledge on adhesion of coatings on wood is described, including the aspects of wet adhesion. Finally the major gaps in knowledge are identified.", "author" : [ { "dropping-particle" : "", "family" : "Meijer", "given" : "Mari", "non-dropping-particle" : "De", "parse-names" : false, "suffix" : "" } ], "container-title" : "COST E18 Final Seminar: High performance wood coatings", "id" : "ITEM-1", "issued" : { "date-parts" : [ [ "2005" ] ] }, "page" : "16", "title" : "A review of interfacial aspects in wood coatings: wetting, surface energy, substrate penetration and adhesion", "type" : "paper-conference" }, "uris" : [ "http://www.mendeley.com/documents/?uuid=174d0772-d97d-37e4-9c38-73096a6a01b2" ] }, { "id" : "ITEM-2", "itemData" : { "author" : [ { "dropping-particle" : "", "family" : "Kennedy", "given" : "R.W.", "non-dropping-particle" : "", "parse-names" : false, "suffix" : "" } ], "container-title" : "Wood and Fiber Science", "id" : "ITEM-2", "issue" : "3", "issued" : { "date-parts" : [ [ "2007" ] ] }, "page" : "182-187", "title" : "An Outlook for Basic Wood Anatomy Research ", "type" : "article-journal", "volume" : "2" }, "uris" : [ "http://www.mendeley.com/documents/?uuid=caf5a90c-8fa6-35e4-993a-e3c16fffca3c" ] } ], "mendeley" : { "formattedCitation" : "&lt;sup&gt;63,64&lt;/sup&gt;", "plainTextFormattedCitation" : "63,64", "previouslyFormattedCitation" : "&lt;sup&gt;63,64&lt;/sup&gt;" }, "properties" : {  }, "schema" : "https://github.com/citation-style-language/schema/raw/master/csl-citation.json" }</w:instrText>
      </w:r>
      <w:r w:rsidR="003B26AB" w:rsidRPr="00AC1A16">
        <w:rPr>
          <w:lang w:val="en-GB"/>
        </w:rPr>
        <w:fldChar w:fldCharType="separate"/>
      </w:r>
      <w:r w:rsidR="00FF6389" w:rsidRPr="00FF6389">
        <w:rPr>
          <w:noProof/>
          <w:vertAlign w:val="superscript"/>
          <w:lang w:val="en-GB"/>
        </w:rPr>
        <w:t>63,64</w:t>
      </w:r>
      <w:r w:rsidR="003B26AB" w:rsidRPr="00AC1A16">
        <w:rPr>
          <w:lang w:val="en-GB"/>
        </w:rPr>
        <w:fldChar w:fldCharType="end"/>
      </w:r>
      <w:r w:rsidR="004A66EA" w:rsidRPr="00AC1A16">
        <w:rPr>
          <w:lang w:val="en-GB"/>
        </w:rPr>
        <w:t xml:space="preserve">. The </w:t>
      </w:r>
      <w:r w:rsidR="004E67D8" w:rsidRPr="00AC1A16">
        <w:rPr>
          <w:lang w:val="en-GB"/>
        </w:rPr>
        <w:t>t</w:t>
      </w:r>
      <w:r w:rsidR="004A66EA" w:rsidRPr="00AC1A16">
        <w:rPr>
          <w:lang w:val="en-GB"/>
        </w:rPr>
        <w:t xml:space="preserve">ransport from rays to tracheids is almost </w:t>
      </w:r>
      <w:r w:rsidR="003B26AB" w:rsidRPr="00AC1A16">
        <w:rPr>
          <w:lang w:val="en-GB"/>
        </w:rPr>
        <w:t>completely</w:t>
      </w:r>
      <w:r w:rsidR="004A66EA" w:rsidRPr="00AC1A16">
        <w:rPr>
          <w:lang w:val="en-GB"/>
        </w:rPr>
        <w:t xml:space="preserve"> limited to pine sapwood</w:t>
      </w:r>
      <w:r w:rsidR="003B26AB" w:rsidRPr="00AC1A16">
        <w:rPr>
          <w:lang w:val="en-GB"/>
        </w:rPr>
        <w:t>.</w:t>
      </w:r>
      <w:r w:rsidR="00855977" w:rsidRPr="00AC1A16">
        <w:rPr>
          <w:lang w:val="en-GB"/>
        </w:rPr>
        <w:t xml:space="preserve"> </w:t>
      </w:r>
      <w:r w:rsidR="003B26AB" w:rsidRPr="00AC1A16">
        <w:rPr>
          <w:lang w:val="en-GB"/>
        </w:rPr>
        <w:t xml:space="preserve">Thus, </w:t>
      </w:r>
      <w:r w:rsidR="00855977" w:rsidRPr="00AC1A16">
        <w:rPr>
          <w:lang w:val="en-GB"/>
        </w:rPr>
        <w:t xml:space="preserve">the </w:t>
      </w:r>
      <w:r w:rsidR="00801E01" w:rsidRPr="00AC1A16">
        <w:rPr>
          <w:lang w:val="en-GB"/>
        </w:rPr>
        <w:t xml:space="preserve">origin of the </w:t>
      </w:r>
      <w:r w:rsidR="004E67D8" w:rsidRPr="00AC1A16">
        <w:rPr>
          <w:lang w:val="en-GB"/>
        </w:rPr>
        <w:t>sample</w:t>
      </w:r>
      <w:r w:rsidR="00801E01" w:rsidRPr="00AC1A16">
        <w:rPr>
          <w:lang w:val="en-GB"/>
        </w:rPr>
        <w:t xml:space="preserve"> might influence </w:t>
      </w:r>
      <w:r w:rsidR="00855977" w:rsidRPr="00AC1A16">
        <w:rPr>
          <w:lang w:val="en-GB"/>
        </w:rPr>
        <w:t>the WPG</w:t>
      </w:r>
      <w:r w:rsidR="003B26AB" w:rsidRPr="00AC1A16">
        <w:rPr>
          <w:lang w:val="en-GB"/>
        </w:rPr>
        <w:t>,</w:t>
      </w:r>
      <w:r w:rsidR="00855977" w:rsidRPr="00AC1A16">
        <w:rPr>
          <w:lang w:val="en-GB"/>
        </w:rPr>
        <w:t xml:space="preserve"> </w:t>
      </w:r>
      <w:r w:rsidR="003B26AB" w:rsidRPr="00AC1A16">
        <w:rPr>
          <w:lang w:val="en-GB"/>
        </w:rPr>
        <w:t>owing</w:t>
      </w:r>
      <w:r w:rsidR="00855977" w:rsidRPr="00AC1A16">
        <w:rPr>
          <w:lang w:val="en-GB"/>
        </w:rPr>
        <w:t xml:space="preserve"> to the</w:t>
      </w:r>
      <w:r w:rsidR="00801E01" w:rsidRPr="00AC1A16">
        <w:rPr>
          <w:lang w:val="en-GB"/>
        </w:rPr>
        <w:t xml:space="preserve"> differences in early- and latewood portions</w:t>
      </w:r>
      <w:r w:rsidR="00855977" w:rsidRPr="00AC1A16">
        <w:t xml:space="preserve">. </w:t>
      </w:r>
      <w:r w:rsidR="002F0199" w:rsidRPr="00AC1A16">
        <w:t xml:space="preserve">On the other hand, the penetration </w:t>
      </w:r>
      <w:r w:rsidR="002F0199" w:rsidRPr="00AC1A16">
        <w:lastRenderedPageBreak/>
        <w:t>mechanisms in the hardwood species (</w:t>
      </w:r>
      <w:r w:rsidR="008616D1" w:rsidRPr="00AC1A16">
        <w:t>beech</w:t>
      </w:r>
      <w:r w:rsidR="002F0199" w:rsidRPr="00AC1A16">
        <w:t xml:space="preserve">) are simplified to filling the vessels and the first cells of rays, and then occasionally the axial parenchym and sklerenchym. Consequently, the vessels fill more deeply and penetration into axial parenchym and sklerenchym might be more </w:t>
      </w:r>
      <w:r w:rsidR="003B26AB" w:rsidRPr="00AC1A16">
        <w:t>pronounced. Hence,</w:t>
      </w:r>
      <w:r w:rsidR="002F0199" w:rsidRPr="00AC1A16">
        <w:t xml:space="preserve"> a greater WPG</w:t>
      </w:r>
      <w:r w:rsidR="003B26AB" w:rsidRPr="00AC1A16">
        <w:t xml:space="preserve"> was achieved</w:t>
      </w:r>
      <w:r w:rsidR="002F0199" w:rsidRPr="00AC1A16">
        <w:t xml:space="preserve"> in</w:t>
      </w:r>
      <w:r w:rsidR="003B26AB" w:rsidRPr="00AC1A16">
        <w:t xml:space="preserve"> the</w:t>
      </w:r>
      <w:r w:rsidR="002F0199" w:rsidRPr="00AC1A16">
        <w:t xml:space="preserve"> samples of </w:t>
      </w:r>
      <w:r w:rsidR="00FE0ACA" w:rsidRPr="00AC1A16">
        <w:t>b</w:t>
      </w:r>
      <w:r w:rsidR="008616D1" w:rsidRPr="00AC1A16">
        <w:t>eech wood</w:t>
      </w:r>
      <w:r w:rsidR="002F0199" w:rsidRPr="00AC1A16">
        <w:t xml:space="preserve"> </w:t>
      </w:r>
      <w:r w:rsidR="003B26AB" w:rsidRPr="00AC1A16">
        <w:t>compared to that of</w:t>
      </w:r>
      <w:r w:rsidR="002F0199" w:rsidRPr="00AC1A16">
        <w:t xml:space="preserve"> the softwood.</w:t>
      </w:r>
      <w:r w:rsidR="001C1271">
        <w:t xml:space="preserve"> Concerning the relative humidity of the samples, the major divergences were observed especially between species, since it represents an intrinsic parameter of each wood type. Moreover, it was seen in both species that the addition of the coatings reduced the relative humidity of the wood samples. This tendency </w:t>
      </w:r>
      <w:r w:rsidR="008C08BC">
        <w:t>could</w:t>
      </w:r>
      <w:r w:rsidR="001C1271">
        <w:t xml:space="preserve"> be related to the presence of the coating layer onto the wood surface, which hinder</w:t>
      </w:r>
      <w:r w:rsidR="008C08BC">
        <w:t>ed</w:t>
      </w:r>
      <w:r w:rsidR="001C1271">
        <w:t xml:space="preserve"> the</w:t>
      </w:r>
      <w:r w:rsidR="008C08BC">
        <w:t xml:space="preserve"> wood</w:t>
      </w:r>
      <w:r w:rsidR="001C1271">
        <w:t xml:space="preserve"> </w:t>
      </w:r>
      <w:r w:rsidR="008C08BC">
        <w:t xml:space="preserve">absorption of water from the ambience. This </w:t>
      </w:r>
      <w:r w:rsidR="00A70031">
        <w:t>phenomenon</w:t>
      </w:r>
      <w:r w:rsidR="008C08BC">
        <w:t xml:space="preserve"> was detected in both wood species.</w:t>
      </w:r>
    </w:p>
    <w:p w14:paraId="72FAC94A" w14:textId="607EA32D" w:rsidR="003F033C" w:rsidRPr="00AC1A16" w:rsidRDefault="002E008F" w:rsidP="00F02EC0">
      <w:pPr>
        <w:pStyle w:val="TAMainText"/>
      </w:pPr>
      <w:r w:rsidRPr="00AC1A16">
        <w:t>Analysis of the c</w:t>
      </w:r>
      <w:r w:rsidR="003F033C" w:rsidRPr="00AC1A16">
        <w:t>ombustibility of the wood samples</w:t>
      </w:r>
    </w:p>
    <w:p w14:paraId="1A09005D" w14:textId="3EF43C9C" w:rsidR="0045679B" w:rsidRPr="00AC1A16" w:rsidRDefault="009B1F70" w:rsidP="00F02EC0">
      <w:pPr>
        <w:pStyle w:val="TAMainText"/>
      </w:pPr>
      <w:r w:rsidRPr="00AC1A16">
        <w:t>This technique was carried</w:t>
      </w:r>
      <w:r w:rsidR="00901AA8">
        <w:t xml:space="preserve"> out</w:t>
      </w:r>
      <w:r w:rsidRPr="00AC1A16">
        <w:t xml:space="preserve"> to evaluate the influence of the coating formulations over the heat release during the combustion of the wood samples. </w:t>
      </w:r>
      <w:r w:rsidR="00EE31E9" w:rsidRPr="00AC1A16">
        <w:t>T</w:t>
      </w:r>
      <w:r w:rsidRPr="00AC1A16">
        <w:t>he samples were put into a calorimetry pump</w:t>
      </w:r>
      <w:r w:rsidR="00901AA8">
        <w:t xml:space="preserve"> with and</w:t>
      </w:r>
      <w:r w:rsidRPr="00AC1A16">
        <w:t xml:space="preserve"> without coating to </w:t>
      </w:r>
      <w:r w:rsidR="00901AA8">
        <w:t>evaluate the influence of</w:t>
      </w:r>
      <w:r w:rsidRPr="00AC1A16">
        <w:t xml:space="preserve"> the application of the coating on wood</w:t>
      </w:r>
      <w:r w:rsidR="00901AA8">
        <w:t xml:space="preserve"> on this parameter</w:t>
      </w:r>
      <w:r w:rsidRPr="00AC1A16">
        <w:t xml:space="preserve">. The results concerning the heat produced during the combustion of the wood samples </w:t>
      </w:r>
      <w:r w:rsidR="00E43184" w:rsidRPr="00AC1A16">
        <w:t>are presented in figure 4</w:t>
      </w:r>
      <w:r w:rsidRPr="00AC1A16">
        <w:t>.</w:t>
      </w:r>
    </w:p>
    <w:p w14:paraId="665FB996" w14:textId="77777777" w:rsidR="009B1F70" w:rsidRPr="00AC1A16" w:rsidRDefault="009B1F70" w:rsidP="00F02EC0">
      <w:pPr>
        <w:pStyle w:val="TAMainText"/>
      </w:pPr>
    </w:p>
    <w:p w14:paraId="015FAC7A" w14:textId="3AC602EA" w:rsidR="009B1F70" w:rsidRDefault="009B1F70" w:rsidP="009B1F70">
      <w:pPr>
        <w:spacing w:line="276" w:lineRule="auto"/>
        <w:jc w:val="center"/>
        <w:rPr>
          <w:rFonts w:ascii="Arial" w:hAnsi="Arial" w:cs="Arial"/>
        </w:rPr>
      </w:pPr>
    </w:p>
    <w:p w14:paraId="0AF5C62C" w14:textId="75440E22" w:rsidR="00A13FEB" w:rsidRPr="00AC1A16" w:rsidRDefault="00A13FEB" w:rsidP="009B1F70">
      <w:pPr>
        <w:spacing w:line="276" w:lineRule="auto"/>
        <w:jc w:val="center"/>
        <w:rPr>
          <w:rFonts w:ascii="Arial" w:hAnsi="Arial" w:cs="Arial"/>
        </w:rPr>
      </w:pPr>
      <w:r>
        <w:rPr>
          <w:rFonts w:ascii="Arial" w:hAnsi="Arial" w:cs="Arial"/>
          <w:noProof/>
          <w:lang w:val="es-ES" w:eastAsia="es-ES"/>
        </w:rPr>
        <w:lastRenderedPageBreak/>
        <w:drawing>
          <wp:inline distT="0" distB="0" distL="0" distR="0" wp14:anchorId="4EDF12FB" wp14:editId="7A6EA84C">
            <wp:extent cx="5400040" cy="3789680"/>
            <wp:effectExtent l="0" t="0" r="0" b="127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 5.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00040" cy="3789680"/>
                    </a:xfrm>
                    <a:prstGeom prst="rect">
                      <a:avLst/>
                    </a:prstGeom>
                  </pic:spPr>
                </pic:pic>
              </a:graphicData>
            </a:graphic>
          </wp:inline>
        </w:drawing>
      </w:r>
    </w:p>
    <w:p w14:paraId="4E6876E5" w14:textId="114A1EA4" w:rsidR="009B1F70" w:rsidRPr="00AC1A16" w:rsidRDefault="00E43184" w:rsidP="00F02EC0">
      <w:pPr>
        <w:pStyle w:val="VAFigureCaption"/>
      </w:pPr>
      <w:r w:rsidRPr="00AC1A16">
        <w:rPr>
          <w:b/>
        </w:rPr>
        <w:t>Figure 5</w:t>
      </w:r>
      <w:r w:rsidR="009B1F70" w:rsidRPr="00AC1A16">
        <w:rPr>
          <w:b/>
        </w:rPr>
        <w:t>.</w:t>
      </w:r>
      <w:r w:rsidR="009B1F70" w:rsidRPr="00AC1A16">
        <w:t xml:space="preserve"> Heat of combustion of the wood samples before and after the application of the coatings.</w:t>
      </w:r>
    </w:p>
    <w:p w14:paraId="049E48CF" w14:textId="15A4761C" w:rsidR="004A2556" w:rsidRDefault="009B1F70" w:rsidP="00F02EC0">
      <w:pPr>
        <w:pStyle w:val="TAMainText"/>
      </w:pPr>
      <w:r w:rsidRPr="00AC1A16">
        <w:t xml:space="preserve">The heat of combustion determined, showed higher values in the samples of </w:t>
      </w:r>
      <w:r w:rsidR="008616D1" w:rsidRPr="00AC1A16">
        <w:t>maritime pine wood</w:t>
      </w:r>
      <w:r w:rsidRPr="00AC1A16">
        <w:t xml:space="preserve"> compared to those of </w:t>
      </w:r>
      <w:r w:rsidR="00BA4874" w:rsidRPr="00AC1A16">
        <w:t>b</w:t>
      </w:r>
      <w:r w:rsidR="008616D1" w:rsidRPr="00AC1A16">
        <w:t>eech wood</w:t>
      </w:r>
      <w:r w:rsidRPr="00AC1A16">
        <w:t>. This is normally associated with the higher lignin content of conifers compared to hardwood s</w:t>
      </w:r>
      <w:r w:rsidR="000026B6" w:rsidRPr="00AC1A16">
        <w:t>pecies</w:t>
      </w:r>
      <w:r w:rsidR="00BE15F2" w:rsidRPr="00AC1A16">
        <w:fldChar w:fldCharType="begin" w:fldLock="1"/>
      </w:r>
      <w:r w:rsidR="00FF6389">
        <w:instrText>ADDIN CSL_CITATION { "citationItems" : [ { "id" : "ITEM-1", "itemData" : { "abstract" : "A characterisation of Pinus pinaster Aiton. (Maritime Pine) woody biomass and ashes is presented in this study. Physical, thermal and chemical analysis, including density, moisture content, calorific value, proximate and ultimate analysis, were carried out. The fuel Energy Density (E d ) and the Fuelwood Value Index (FVI) were assessed by ranking the fuelwood quality. Furthermore, the determination of the ash metal elementals was performed. The results from this study indicated, for Pinus pinaster biomass tree components, carbon content ranging from 46.5 to 49.3%, nitrogen content from 0.13 to 1.18%, sulphur content from 0.056 to 0.148% and hydrogen content around 6\u20137%. The ash content in the tree components ranged from 0.22 to 1.92%. The average higher heating value (HHV) was higher for pine needles (21.61 MJ\u00b7kg \u22121 ). The E d of 8.9 GJ\u00b7m \u22123 confirm the good potential of Pinus pinaster biomass tree components as fuel. The FVI ranked the wood stem (4658) and top (2861.8) as a better fuelwood and pine needles (394.2) as inferior quality. The chemical composition of the ashes revealed that the elemental contents are below the national and most European countries legislation guidelines for the employment of ash as a fertiliser.", "author" : [ { "dropping-particle" : "", "family" : "Santos Viana", "given" : "Helder Filipe", "non-dropping-particle" : "dos", "parse-names" : false, "suffix" : "" }, { "dropping-particle" : "", "family" : "Rodrigues", "given" : "Abel Martins", "non-dropping-particle" : "", "parse-names" : false, "suffix" : "" }, { "dropping-particle" : "", "family" : "Godina", "given" : "Radu", "non-dropping-particle" : "", "parse-names" : false, "suffix" : "" }, { "dropping-particle" : "", "family" : "Matias", "given" : "Jo\u00e3o Carlos de Oliveira", "non-dropping-particle" : "", "parse-names" : false, "suffix" : "" }, { "dropping-particle" : "", "family" : "Nunes", "given" : "Leonel Jorge Ribeiro", "non-dropping-particle" : "", "parse-names" : false, "suffix" : "" } ], "container-title" : "Sustainability", "id" : "ITEM-1", "issue" : "8", "issued" : { "date-parts" : [ [ "2018" ] ] }, "page" : "1-15", "publisher" : "MDPI, Open Access Journal", "title" : "Evaluation of the Physical, Chemical and Thermal Properties of Portuguese Maritime Pine Biomass", "type" : "article-journal", "volume" : "10" }, "uris" : [ "http://www.mendeley.com/documents/?uuid=8ec724f8-98c8-3b61-b464-07b021b71266" ] } ], "mendeley" : { "formattedCitation" : "&lt;sup&gt;65&lt;/sup&gt;", "plainTextFormattedCitation" : "65", "previouslyFormattedCitation" : "&lt;sup&gt;65&lt;/sup&gt;" }, "properties" : {  }, "schema" : "https://github.com/citation-style-language/schema/raw/master/csl-citation.json" }</w:instrText>
      </w:r>
      <w:r w:rsidR="00BE15F2" w:rsidRPr="00AC1A16">
        <w:fldChar w:fldCharType="separate"/>
      </w:r>
      <w:r w:rsidR="00FF6389" w:rsidRPr="00FF6389">
        <w:rPr>
          <w:noProof/>
          <w:vertAlign w:val="superscript"/>
        </w:rPr>
        <w:t>65</w:t>
      </w:r>
      <w:r w:rsidR="00BE15F2" w:rsidRPr="00AC1A16">
        <w:fldChar w:fldCharType="end"/>
      </w:r>
      <w:r w:rsidRPr="00AC1A16">
        <w:t>. Moreover, it is also due to the presence of a greater amount of resin, oil and wax in softwood species. These compounds, which take part typically of the extractives, are reported to increase the heat of combustion of wood</w:t>
      </w:r>
      <w:r w:rsidR="000026B6" w:rsidRPr="00AC1A16">
        <w:t xml:space="preserve"> species</w:t>
      </w:r>
      <w:r w:rsidR="00BE15F2" w:rsidRPr="00AC1A16">
        <w:fldChar w:fldCharType="begin" w:fldLock="1"/>
      </w:r>
      <w:r w:rsidR="00FF6389">
        <w:instrText>ADDIN CSL_CITATION { "citationItems" : [ { "id" : "ITEM-1", "itemData" : { "abstract" : "Title from cover.", "author" : [ { "dropping-particle" : "", "family" : "White", "given" : "Robert H.", "non-dropping-particle" : "", "parse-names" : false, "suffix" : "" } ], "container-title" : "Wood and Fiber Science", "id" : "ITEM-1", "issue" : "4", "issued" : { "date-parts" : [ [ "1983", "6", "22" ] ] }, "page" : "446-452", "publisher" : "The Society", "title" : "Effect of the lignin content and extractives on the higher heating value of wood", "type" : "article-journal", "volume" : "19" }, "uris" : [ "http://www.mendeley.com/documents/?uuid=4f6aef83-06d7-3ee6-b934-b7114727759c" ] } ], "mendeley" : { "formattedCitation" : "&lt;sup&gt;66&lt;/sup&gt;", "plainTextFormattedCitation" : "66", "previouslyFormattedCitation" : "&lt;sup&gt;66&lt;/sup&gt;" }, "properties" : {  }, "schema" : "https://github.com/citation-style-language/schema/raw/master/csl-citation.json" }</w:instrText>
      </w:r>
      <w:r w:rsidR="00BE15F2" w:rsidRPr="00AC1A16">
        <w:fldChar w:fldCharType="separate"/>
      </w:r>
      <w:r w:rsidR="00FF6389" w:rsidRPr="00FF6389">
        <w:rPr>
          <w:noProof/>
          <w:vertAlign w:val="superscript"/>
        </w:rPr>
        <w:t>66</w:t>
      </w:r>
      <w:r w:rsidR="00BE15F2" w:rsidRPr="00AC1A16">
        <w:fldChar w:fldCharType="end"/>
      </w:r>
      <w:r w:rsidRPr="00AC1A16">
        <w:t xml:space="preserve">. The calorific values of the control samples determined, expressed as HHV, were within the typical ranges of </w:t>
      </w:r>
      <w:r w:rsidR="008616D1" w:rsidRPr="00AC1A16">
        <w:t>maritime pine wood</w:t>
      </w:r>
      <w:r w:rsidRPr="00AC1A16">
        <w:t xml:space="preserve"> (19.55-20.99 MJ∙Kg</w:t>
      </w:r>
      <w:r w:rsidRPr="00AC1A16">
        <w:rPr>
          <w:vertAlign w:val="superscript"/>
        </w:rPr>
        <w:t>-1</w:t>
      </w:r>
      <w:r w:rsidRPr="00AC1A16">
        <w:t xml:space="preserve">) and </w:t>
      </w:r>
      <w:r w:rsidR="008616D1" w:rsidRPr="00AC1A16">
        <w:t xml:space="preserve">beech wood </w:t>
      </w:r>
      <w:r w:rsidRPr="00AC1A16">
        <w:t>(19.33-19.21 MJ∙Kg</w:t>
      </w:r>
      <w:r w:rsidRPr="00AC1A16">
        <w:rPr>
          <w:vertAlign w:val="superscript"/>
        </w:rPr>
        <w:t>-1</w:t>
      </w:r>
      <w:r w:rsidRPr="00AC1A16">
        <w:t>) as reported in the</w:t>
      </w:r>
      <w:r w:rsidR="000026B6" w:rsidRPr="00AC1A16">
        <w:t xml:space="preserve"> literature</w:t>
      </w:r>
      <w:r w:rsidR="00BE15F2" w:rsidRPr="00AC1A16">
        <w:fldChar w:fldCharType="begin" w:fldLock="1"/>
      </w:r>
      <w:r w:rsidR="00FF6389">
        <w:instrText>ADDIN CSL_CITATION { "citationItems" : [ { "id" : "ITEM-1", "itemData" : { "DOI" : "10.2307/43754572", "abstract" : "Various fuel characteristics, such as moisture, ash, lignin, holocellulose and extractive contents of different biomass species were determined on ash-free dry weight and extractive-free dry weight basis to find out relationship, if any, between ash and extractive content with the higher heating value. Moisture in biomass generally decreases its heating value. Ash and extractive content are two important parameters directly affecting the heating value. High ash content of a plant part makes it less desirable as fuel, whereas high extractive content adds to its desirability. Again the heat content, which is a very important factor affecting utilization of any material as a fuel, is affected by the proportion of extractives present in it. Extractives raised the higher heating values of the biomass samples.", "author" : [ { "dropping-particle" : "", "family" : "Demirbas", "given" : "Ayhan", "non-dropping-particle" : "", "parse-names" : false, "suffix" : "" } ], "container-title" : "Energy Exploration &amp; Exploitation", "id" : "ITEM-1", "issued" : { "date-parts" : [ [ "2002" ] ] }, "page" : "105-111", "publisher" : "Sage Publications, Ltd.", "title" : "Relationships Between Heating Value and Lignin, Moisture, Ash and Extractive Contents of Biomass Fuels", "type" : "article", "volume" : "20" }, "uris" : [ "http://www.mendeley.com/documents/?uuid=ddd2cb3e-fbc1-3a30-b8c2-4cf5c870a87f" ] }, { "id" : "ITEM-2", "itemData" : { "DOI" : "10.1007/s11676-015-0178-x", "ISSN" : "1007-662X", "author" : [ { "dropping-particle" : "", "family" : "Griu", "given" : "Tatiana", "non-dropping-particle" : "", "parse-names" : false, "suffix" : "" }, { "dropping-particle" : "", "family" : "Lunguleasa", "given" : "Aurel", "non-dropping-particle" : "", "parse-names" : false, "suffix" : "" } ], "container-title" : "Journal of Forestry Research", "id" : "ITEM-2", "issue" : "3", "issued" : { "date-parts" : [ [ "2016", "6", "8" ] ] }, "page" : "719-725", "publisher" : "Northeast Forestry University", "title" : "The use of the white poplar (Populus alba L.) biomass as fuel", "type" : "article-journal", "volume" : "27" }, "uris" : [ "http://www.mendeley.com/documents/?uuid=686ca466-015c-326c-bb6c-519443d8d63b" ] } ], "mendeley" : { "formattedCitation" : "&lt;sup&gt;67,68&lt;/sup&gt;", "plainTextFormattedCitation" : "67,68", "previouslyFormattedCitation" : "&lt;sup&gt;67,68&lt;/sup&gt;" }, "properties" : {  }, "schema" : "https://github.com/citation-style-language/schema/raw/master/csl-citation.json" }</w:instrText>
      </w:r>
      <w:r w:rsidR="00BE15F2" w:rsidRPr="00AC1A16">
        <w:fldChar w:fldCharType="separate"/>
      </w:r>
      <w:r w:rsidR="00FF6389" w:rsidRPr="00FF6389">
        <w:rPr>
          <w:noProof/>
          <w:vertAlign w:val="superscript"/>
        </w:rPr>
        <w:t>67,68</w:t>
      </w:r>
      <w:r w:rsidR="00BE15F2" w:rsidRPr="00AC1A16">
        <w:fldChar w:fldCharType="end"/>
      </w:r>
      <w:r w:rsidRPr="00AC1A16">
        <w:t xml:space="preserve">. However, after the application of the coating the caloric values of the samples were reduced. This means that the heat released from wood during combustion was lower and therefore the combustibility of the samples was decreased. This tendency was more marked in the </w:t>
      </w:r>
      <w:r w:rsidRPr="00AC1A16">
        <w:lastRenderedPageBreak/>
        <w:t>coated samples</w:t>
      </w:r>
      <w:r w:rsidR="00901AA8">
        <w:t xml:space="preserve"> of beech wood</w:t>
      </w:r>
      <w:r w:rsidRPr="00AC1A16">
        <w:t xml:space="preserve"> than in the </w:t>
      </w:r>
      <w:r w:rsidR="00BA4874" w:rsidRPr="00AC1A16">
        <w:t>m</w:t>
      </w:r>
      <w:r w:rsidR="008616D1" w:rsidRPr="00AC1A16">
        <w:t>aritime pine</w:t>
      </w:r>
      <w:r w:rsidRPr="00AC1A16">
        <w:t xml:space="preserve"> ones. This could be attributed to the significant presence of resins in the wood of </w:t>
      </w:r>
      <w:r w:rsidR="00BA4874" w:rsidRPr="00AC1A16">
        <w:t>m</w:t>
      </w:r>
      <w:r w:rsidR="008616D1" w:rsidRPr="00AC1A16">
        <w:t>aritime pine</w:t>
      </w:r>
      <w:r w:rsidR="00BE15F2" w:rsidRPr="00AC1A16">
        <w:fldChar w:fldCharType="begin" w:fldLock="1"/>
      </w:r>
      <w:r w:rsidR="00FF6389">
        <w:instrText>ADDIN CSL_CITATION { "citationItems" : [ { "id" : "ITEM-1", "itemData" : { "DOI" : "10.1016/J.INDCROP.2016.03.033", "ISSN" : "0926-6690", "abstract" : "External induction of resin secretion, based on the defence system of Pinus trees, has been performed by humans since Classical times through various methods. The socio-economic implication of this practice in Spain and the expansion of the Chinese market justify a new approach to tapping methodology and the effects of this activity on the tree. The resin yield of 561 Pinus pinaster trees in a stand in central Spain, tapped in 2012 using four different methods (mechanised or traditional tool, upwards or downwards), was analysed. An anatomical study was made of 13 trees (8 tapped and 5 controls) in another stand 13km away with similar climate and soil conditions, tapped in 2011 using the same four methods. From each tapped tree, eight cores were taken at different locations and varying distances from the tapping wound. In each core, an analysis was made of growth ring, earlywood and latewood width, and axial canal frequency, area, mean size and location from one year before tapping to two years after (2010\u20132013). The highest mean annual resin yield was found for traditional tool upward tapping, which also induced the highest increase in axial canal frequency and area. The lowest yield was found for mechanised tapping, which showed no differences between the upward and downward directions. The strongest induction of systemic induced responses in terms of resin canal frequency and area was detected one year after tapping for upward tapping. This suggests the involvement of signalling processes that spread mainly upwards, and the importance of adaptive processes as a defence to periodic insect attacks for this forest tree.", "author" : [ { "dropping-particle" : "", "family" : "Rodr\u00edguez-Garc\u00eda", "given" : "Aida", "non-dropping-particle" : "", "parse-names" : false, "suffix" : "" }, { "dropping-particle" : "", "family" : "Mart\u00edn", "given" : "Juan Antonio", "non-dropping-particle" : "", "parse-names" : false, "suffix" : "" }, { "dropping-particle" : "", "family" : "L\u00f3pez", "given" : "Rosana", "non-dropping-particle" : "", "parse-names" : false, "suffix" : "" }, { "dropping-particle" : "", "family" : "Sanz", "given" : "Adoraci\u00f3n", "non-dropping-particle" : "", "parse-names" : false, "suffix" : "" }, { "dropping-particle" : "", "family" : "Gil", "given" : "Luis", "non-dropping-particle" : "", "parse-names" : false, "suffix" : "" } ], "container-title" : "Industrial Crops and Products", "id" : "ITEM-1", "issued" : { "date-parts" : [ [ "2016", "8", "1" ] ] }, "page" : "143-154", "publisher" : "Elsevier", "title" : "Effect of four tapping methods on anatomical traits and resin yield in Maritime pine (Pinus pinaster Ait.)", "type" : "article-journal", "volume" : "86" }, "uris" : [ "http://www.mendeley.com/documents/?uuid=d8d47c8b-f1b9-36ee-b00d-aaa2e1f4bc86" ] } ], "mendeley" : { "formattedCitation" : "&lt;sup&gt;69&lt;/sup&gt;", "plainTextFormattedCitation" : "69", "previouslyFormattedCitation" : "&lt;sup&gt;69&lt;/sup&gt;" }, "properties" : {  }, "schema" : "https://github.com/citation-style-language/schema/raw/master/csl-citation.json" }</w:instrText>
      </w:r>
      <w:r w:rsidR="00BE15F2" w:rsidRPr="00AC1A16">
        <w:fldChar w:fldCharType="separate"/>
      </w:r>
      <w:r w:rsidR="00FF6389" w:rsidRPr="00FF6389">
        <w:rPr>
          <w:noProof/>
          <w:vertAlign w:val="superscript"/>
        </w:rPr>
        <w:t>69</w:t>
      </w:r>
      <w:r w:rsidR="00BE15F2" w:rsidRPr="00AC1A16">
        <w:fldChar w:fldCharType="end"/>
      </w:r>
      <w:r w:rsidRPr="00AC1A16">
        <w:t>. The mentioned resins would hinder the interaction between the functional groups of the wood surface and those of the coatings</w:t>
      </w:r>
      <w:r w:rsidR="00A31FCD" w:rsidRPr="00AC1A16">
        <w:t xml:space="preserve"> </w:t>
      </w:r>
      <w:r w:rsidR="00FE3F9F" w:rsidRPr="00AC1A16">
        <w:t>and</w:t>
      </w:r>
      <w:r w:rsidR="00A31FCD" w:rsidRPr="00AC1A16">
        <w:t xml:space="preserve"> the retention of the resin on the surface</w:t>
      </w:r>
      <w:r w:rsidRPr="00AC1A16">
        <w:t>. Moreover, during combustion the resins would be exudated and released through the wood pores. This may induce small cracking in the protective surface layer of the coating.</w:t>
      </w:r>
      <w:r w:rsidR="0072594D">
        <w:t xml:space="preserve"> Concerning the performance of the different formulations it was observed that </w:t>
      </w:r>
      <w:r w:rsidR="002F228C">
        <w:t>the highest</w:t>
      </w:r>
      <w:r w:rsidR="0072594D">
        <w:t xml:space="preserve"> reduction was achieved by the commercial formulation</w:t>
      </w:r>
      <w:r w:rsidR="002F228C">
        <w:t>s</w:t>
      </w:r>
      <w:r w:rsidR="0072594D">
        <w:t xml:space="preserve"> B77 and Quidedur</w:t>
      </w:r>
      <w:r w:rsidR="00A13FEB">
        <w:t>, especially in the case of martime pine</w:t>
      </w:r>
      <w:r w:rsidR="0072594D">
        <w:t>. Nevertheless, the results obtained for the R</w:t>
      </w:r>
      <w:r w:rsidR="0072594D">
        <w:rPr>
          <w:vertAlign w:val="subscript"/>
        </w:rPr>
        <w:t>A</w:t>
      </w:r>
      <w:r w:rsidR="0072594D">
        <w:t xml:space="preserve"> and R</w:t>
      </w:r>
      <w:r w:rsidR="0072594D">
        <w:rPr>
          <w:vertAlign w:val="subscript"/>
        </w:rPr>
        <w:t>B</w:t>
      </w:r>
      <w:r w:rsidR="0072594D">
        <w:t xml:space="preserve"> were in a closer range</w:t>
      </w:r>
      <w:r w:rsidR="002F228C">
        <w:t xml:space="preserve"> as well</w:t>
      </w:r>
      <w:r w:rsidR="004A2556">
        <w:t xml:space="preserve"> confirming a similar efficiency to that of the commercial products</w:t>
      </w:r>
      <w:r w:rsidR="00A13FEB">
        <w:t xml:space="preserve"> as it was observed in the case of beech</w:t>
      </w:r>
      <w:r w:rsidR="004A2556">
        <w:t>.</w:t>
      </w:r>
      <w:r w:rsidR="00A13FEB">
        <w:t xml:space="preserve"> Here they achieved a heat released upon combustion even slightly lower than those of commercial </w:t>
      </w:r>
      <w:r w:rsidR="002F228C">
        <w:t>coatings did</w:t>
      </w:r>
      <w:r w:rsidR="00A13FEB">
        <w:t>.</w:t>
      </w:r>
    </w:p>
    <w:p w14:paraId="16370E21" w14:textId="6F3897E6" w:rsidR="00D6536F" w:rsidRPr="00AC1A16" w:rsidRDefault="009B1F70" w:rsidP="00F02EC0">
      <w:pPr>
        <w:pStyle w:val="TAMainText"/>
      </w:pPr>
      <w:r w:rsidRPr="00AC1A16">
        <w:t>Based on the results described previously and the data of the masses of the wood samples and the coatings applied, it was calculated the reduction of the combustibility achieved related to th</w:t>
      </w:r>
      <w:r w:rsidR="008409D8" w:rsidRPr="00AC1A16">
        <w:t>e mass of coating used (</w:t>
      </w:r>
      <w:r w:rsidR="00D6536F" w:rsidRPr="00AC1A16">
        <w:t>table D1 in Appendix D). Thereby i</w:t>
      </w:r>
      <w:r w:rsidR="006E1673" w:rsidRPr="00AC1A16">
        <w:t>t was seen that even with a small amount of coating the reduction of the heat-release during combustion was significant</w:t>
      </w:r>
      <w:r w:rsidR="0072594D">
        <w:t xml:space="preserve">, especially in the case of beech wood </w:t>
      </w:r>
      <w:r w:rsidR="006E1673" w:rsidRPr="00AC1A16">
        <w:t>≈8 KJ∙g</w:t>
      </w:r>
      <w:r w:rsidR="006E1673" w:rsidRPr="00AC1A16">
        <w:rPr>
          <w:vertAlign w:val="superscript"/>
        </w:rPr>
        <w:t>-1</w:t>
      </w:r>
      <w:r w:rsidR="006E1673" w:rsidRPr="00AC1A16">
        <w:t xml:space="preserve"> or 8 MJ∙Kg</w:t>
      </w:r>
      <w:r w:rsidR="006E1673" w:rsidRPr="00AC1A16">
        <w:rPr>
          <w:vertAlign w:val="superscript"/>
        </w:rPr>
        <w:t>-1</w:t>
      </w:r>
      <w:r w:rsidR="006E1673" w:rsidRPr="00AC1A16">
        <w:t xml:space="preserve"> </w:t>
      </w:r>
      <w:r w:rsidR="0072594D">
        <w:t xml:space="preserve"> and 9</w:t>
      </w:r>
      <w:r w:rsidR="0072594D" w:rsidRPr="0072594D">
        <w:t xml:space="preserve"> </w:t>
      </w:r>
      <w:r w:rsidR="0072594D" w:rsidRPr="00AC1A16">
        <w:t>KJ∙g</w:t>
      </w:r>
      <w:r w:rsidR="0072594D" w:rsidRPr="00AC1A16">
        <w:rPr>
          <w:vertAlign w:val="superscript"/>
        </w:rPr>
        <w:t>-1</w:t>
      </w:r>
      <w:r w:rsidR="0072594D" w:rsidRPr="00AC1A16">
        <w:t xml:space="preserve"> or 8 MJ∙Kg</w:t>
      </w:r>
      <w:r w:rsidR="0072594D" w:rsidRPr="00AC1A16">
        <w:rPr>
          <w:vertAlign w:val="superscript"/>
        </w:rPr>
        <w:t>-1</w:t>
      </w:r>
      <w:r w:rsidR="0072594D">
        <w:rPr>
          <w:vertAlign w:val="superscript"/>
        </w:rPr>
        <w:t xml:space="preserve"> </w:t>
      </w:r>
      <w:r w:rsidR="0072594D">
        <w:t>for the biobased and commercial coatings respectively</w:t>
      </w:r>
      <w:r w:rsidR="006E1673" w:rsidRPr="00AC1A16">
        <w:t xml:space="preserve">). </w:t>
      </w:r>
      <w:r w:rsidR="0072594D">
        <w:t>Within the biobased coatings, the reduction was higher in the case of the R</w:t>
      </w:r>
      <w:r w:rsidR="0072594D">
        <w:rPr>
          <w:vertAlign w:val="subscript"/>
        </w:rPr>
        <w:t xml:space="preserve">A </w:t>
      </w:r>
      <w:r w:rsidR="0072594D">
        <w:t>and R</w:t>
      </w:r>
      <w:r w:rsidR="0072594D">
        <w:rPr>
          <w:vertAlign w:val="subscript"/>
        </w:rPr>
        <w:t>B</w:t>
      </w:r>
      <w:r w:rsidR="0072594D">
        <w:t xml:space="preserve"> formulations compared to the Reference. </w:t>
      </w:r>
      <w:r w:rsidR="006E1673" w:rsidRPr="00AC1A16">
        <w:t xml:space="preserve">The mentioned parameter achieved by the coatings was related to the presence of the inorganic heat resistant components (Dellite 43B, Trisilanol POSS). </w:t>
      </w:r>
      <w:r w:rsidR="0072594D">
        <w:t>T</w:t>
      </w:r>
      <w:r w:rsidR="006E1673" w:rsidRPr="00AC1A16">
        <w:t>hese components</w:t>
      </w:r>
      <w:r w:rsidR="0072594D">
        <w:t xml:space="preserve"> could</w:t>
      </w:r>
      <w:r w:rsidR="006E1673" w:rsidRPr="00AC1A16">
        <w:t xml:space="preserve"> </w:t>
      </w:r>
      <w:r w:rsidR="0072594D">
        <w:t>balance</w:t>
      </w:r>
      <w:r w:rsidR="006E1673" w:rsidRPr="00AC1A16">
        <w:t xml:space="preserve"> the action of lignin, which is known by its considerable calorific</w:t>
      </w:r>
      <w:r w:rsidR="000026B6" w:rsidRPr="00AC1A16">
        <w:t xml:space="preserve"> value</w:t>
      </w:r>
      <w:r w:rsidR="00BE15F2" w:rsidRPr="00AC1A16">
        <w:fldChar w:fldCharType="begin" w:fldLock="1"/>
      </w:r>
      <w:r w:rsidR="00FF6389">
        <w:instrText>ADDIN CSL_CITATION { "citationItems" : [ { "id" : "ITEM-1", "itemData" : { "DOI" : "10.1080/15567036.2016.1248798", "ISSN" : "1556-7036", "abstract" : "ABSTRACTThe higher heating values were studied from different lignin types obtained from wood and non-wood lignocellulosic biomass samples. The differences of higher heating values in wood and non-...", "author" : [ { "dropping-particle" : "", "family" : "Demirbas", "given" : "Ayhan", "non-dropping-particle" : "", "parse-names" : false, "suffix" : "" } ], "container-title" : "Energy Sources, Part A: Recovery, Utilization, and Environmental Effects", "id" : "ITEM-1", "issue" : "6", "issued" : { "date-parts" : [ [ "2017", "3", "19" ] ] }, "page" : "592-598", "publisher" : "Taylor &amp; Francis", "title" : "Higher heating values of lignin types from wood and non-wood lignocellulosic biomasses", "type" : "article-journal", "volume" : "39" }, "uris" : [ "http://www.mendeley.com/documents/?uuid=51bde202-aa8f-3983-9c2c-3f27b503359b" ] } ], "mendeley" : { "formattedCitation" : "&lt;sup&gt;70&lt;/sup&gt;", "plainTextFormattedCitation" : "70", "previouslyFormattedCitation" : "&lt;sup&gt;70&lt;/sup&gt;" }, "properties" : {  }, "schema" : "https://github.com/citation-style-language/schema/raw/master/csl-citation.json" }</w:instrText>
      </w:r>
      <w:r w:rsidR="00BE15F2" w:rsidRPr="00AC1A16">
        <w:fldChar w:fldCharType="separate"/>
      </w:r>
      <w:r w:rsidR="00FF6389" w:rsidRPr="00FF6389">
        <w:rPr>
          <w:noProof/>
          <w:vertAlign w:val="superscript"/>
        </w:rPr>
        <w:t>70</w:t>
      </w:r>
      <w:r w:rsidR="00BE15F2" w:rsidRPr="00AC1A16">
        <w:fldChar w:fldCharType="end"/>
      </w:r>
      <w:r w:rsidR="006E1673" w:rsidRPr="00AC1A16">
        <w:t>. Consequently, these components were</w:t>
      </w:r>
      <w:r w:rsidR="0072594D">
        <w:t xml:space="preserve"> also</w:t>
      </w:r>
      <w:r w:rsidR="006E1673" w:rsidRPr="00AC1A16">
        <w:t xml:space="preserve"> proved to improve the thermal performance on the</w:t>
      </w:r>
      <w:r w:rsidR="0072594D">
        <w:t>se coating formulations</w:t>
      </w:r>
      <w:r w:rsidR="006E1673" w:rsidRPr="00AC1A16">
        <w:t xml:space="preserve"> regarding the heat release during combustion.</w:t>
      </w:r>
    </w:p>
    <w:p w14:paraId="79C50FEF" w14:textId="58D08681" w:rsidR="003F033C" w:rsidRPr="00AC1A16" w:rsidRDefault="005805FF" w:rsidP="00F02EC0">
      <w:pPr>
        <w:pStyle w:val="TAMainText"/>
      </w:pPr>
      <w:r w:rsidRPr="00AC1A16">
        <w:lastRenderedPageBreak/>
        <w:t>Coatings flammability and fire resistance assessment</w:t>
      </w:r>
    </w:p>
    <w:p w14:paraId="0408CD61" w14:textId="020CAB39" w:rsidR="0009511D" w:rsidRPr="00AC1A16" w:rsidRDefault="0009511D" w:rsidP="00F81854">
      <w:pPr>
        <w:pStyle w:val="TAMainText"/>
      </w:pPr>
      <w:r w:rsidRPr="00AC1A16">
        <w:t>This analysis was based on the standard UNE-EN 60695-11-10:2014 and it was carried out for the horizontal combustion with a contact angle between the wood samples and the flame of 45 º and samples with dimensions 125x13x3 mm.</w:t>
      </w:r>
      <w:r w:rsidR="00E43184" w:rsidRPr="00AC1A16">
        <w:t xml:space="preserve"> </w:t>
      </w:r>
      <w:r w:rsidRPr="00AC1A16">
        <w:t xml:space="preserve">During the exposure of the samples to flames, significant divergences were seen between the control samples (without coating) and the coated ones. On the one hand, in the control samples a fast ignition, combustion and spread of the flames were observed. In some of these samples (mainly </w:t>
      </w:r>
      <w:r w:rsidR="00A86F08" w:rsidRPr="00AC1A16">
        <w:t>m</w:t>
      </w:r>
      <w:r w:rsidR="008616D1" w:rsidRPr="00AC1A16">
        <w:t>aritime pine</w:t>
      </w:r>
      <w:r w:rsidRPr="00AC1A16">
        <w:t xml:space="preserve"> ones), black fumes were also exhausted and an intense glowing was observed during combustion. Besides, exudation and dripping were seen during the fire exposure as well. These events were attributed to the higher extractive content of </w:t>
      </w:r>
      <w:r w:rsidR="00A86F08" w:rsidRPr="00AC1A16">
        <w:t>m</w:t>
      </w:r>
      <w:r w:rsidR="008616D1" w:rsidRPr="00AC1A16">
        <w:t>aritime pine</w:t>
      </w:r>
      <w:r w:rsidRPr="00AC1A16">
        <w:t xml:space="preserve"> wood compared to </w:t>
      </w:r>
      <w:r w:rsidR="00A86F08" w:rsidRPr="00AC1A16">
        <w:rPr>
          <w:iCs/>
        </w:rPr>
        <w:t>b</w:t>
      </w:r>
      <w:r w:rsidR="008616D1" w:rsidRPr="00AC1A16">
        <w:rPr>
          <w:iCs/>
        </w:rPr>
        <w:t>eech wood</w:t>
      </w:r>
      <w:r w:rsidR="00BE15F2" w:rsidRPr="00AC1A16">
        <w:rPr>
          <w:iCs/>
        </w:rPr>
        <w:fldChar w:fldCharType="begin" w:fldLock="1"/>
      </w:r>
      <w:r w:rsidR="00FF6389">
        <w:rPr>
          <w:iCs/>
        </w:rPr>
        <w:instrText>ADDIN CSL_CITATION { "citationItems" : [ { "id" : "ITEM-1", "itemData" : { "DOI" : "10.1016/J.BIOMBIOE.2010.12.038", "ISSN" : "0961-9534", "abstract" : "The Higher Heating Value (HHV) of 17 wood fuels was correlated with their Klason lignin (L) and extractive contents (Ext). There was a highly significant correlation between higher heating value, Klason lignin and extractive contents. The HHV (MJ/kg) of wood fuels as a function of lignin and extractive contents can be calculated using the following equation: qv,gr,d\u00a0=\u00a014.3377\u00a0+\u00a00.1228 (L)\u00a0+\u00a00.1353 (Ext). The correlation coefficient (r) was 0.915. The standard error for Klason lignin was 0.017 and to extractive contents of 0.024. The proportion explained by Klason lignin was 56.4% and explained by extractive contents was 43.6%.", "author" : [ { "dropping-particle" : "", "family" : "Telmo", "given" : "C.", "non-dropping-particle" : "", "parse-names" : false, "suffix" : "" }, { "dropping-particle" : "", "family" : "Lousada", "given" : "J.", "non-dropping-particle" : "", "parse-names" : false, "suffix" : "" } ], "container-title" : "Biomass and Bioenergy", "id" : "ITEM-1", "issue" : "5", "issued" : { "date-parts" : [ [ "2011", "5", "1" ] ] }, "page" : "1663-1667", "publisher" : "Pergamon", "title" : "The explained variation by lignin and extractive contents on higher heating value of wood", "type" : "article-journal", "volume" : "35" }, "uris" : [ "http://www.mendeley.com/documents/?uuid=05dbcc89-fbe4-36cc-9b03-6a7147e2a5b5" ] } ], "mendeley" : { "formattedCitation" : "&lt;sup&gt;71&lt;/sup&gt;", "plainTextFormattedCitation" : "71", "previouslyFormattedCitation" : "&lt;sup&gt;71&lt;/sup&gt;" }, "properties" : {  }, "schema" : "https://github.com/citation-style-language/schema/raw/master/csl-citation.json" }</w:instrText>
      </w:r>
      <w:r w:rsidR="00BE15F2" w:rsidRPr="00AC1A16">
        <w:rPr>
          <w:iCs/>
        </w:rPr>
        <w:fldChar w:fldCharType="separate"/>
      </w:r>
      <w:r w:rsidR="00FF6389" w:rsidRPr="00FF6389">
        <w:rPr>
          <w:iCs/>
          <w:noProof/>
          <w:vertAlign w:val="superscript"/>
        </w:rPr>
        <w:t>71</w:t>
      </w:r>
      <w:r w:rsidR="00BE15F2" w:rsidRPr="00AC1A16">
        <w:rPr>
          <w:iCs/>
        </w:rPr>
        <w:fldChar w:fldCharType="end"/>
      </w:r>
      <w:r w:rsidRPr="00AC1A16">
        <w:t>. On the other hand, in the coated wood samples the phenomena described previously developed differently</w:t>
      </w:r>
      <w:r w:rsidR="00F81854">
        <w:t>, both in the case of the biobased coatings and the commercial ones</w:t>
      </w:r>
      <w:r w:rsidRPr="00AC1A16">
        <w:t xml:space="preserve">. Thereby, the combustion of the samples displayed a lower impact on the integrity of the wood samples. It seemed that the combustion was occurring directly onto the coating layer and around the wood bulk. Other important facts were that no black fumes were not exhausted and that no glowing was observed. Moreover, the propagation of the flames along the wood was slowed down. </w:t>
      </w:r>
      <w:r w:rsidR="00F81854">
        <w:t xml:space="preserve">These phenomena described previously were measure by means of two main parameters, namely integrity of the wood samples and flame propagation along the wood. </w:t>
      </w:r>
    </w:p>
    <w:p w14:paraId="60BBB916" w14:textId="3B115983" w:rsidR="0009511D" w:rsidRPr="00AC1A16" w:rsidRDefault="0009511D" w:rsidP="009554E8">
      <w:pPr>
        <w:spacing w:after="120" w:line="276" w:lineRule="auto"/>
        <w:jc w:val="center"/>
        <w:rPr>
          <w:rFonts w:ascii="Arial" w:hAnsi="Arial" w:cs="Arial"/>
        </w:rPr>
      </w:pPr>
    </w:p>
    <w:p w14:paraId="1CB85956" w14:textId="60D9204B" w:rsidR="0009511D" w:rsidRDefault="0009511D" w:rsidP="00F02EC0">
      <w:pPr>
        <w:pStyle w:val="VAFigureCaption"/>
      </w:pPr>
    </w:p>
    <w:p w14:paraId="343FE91A" w14:textId="5BB4655A" w:rsidR="00F81854" w:rsidRDefault="004E6E25" w:rsidP="00EA1A18">
      <w:r>
        <w:rPr>
          <w:noProof/>
          <w:lang w:val="es-ES" w:eastAsia="es-ES"/>
        </w:rPr>
        <w:lastRenderedPageBreak/>
        <w:drawing>
          <wp:inline distT="0" distB="0" distL="0" distR="0" wp14:anchorId="32A1255B" wp14:editId="0220A008">
            <wp:extent cx="5400040" cy="3789680"/>
            <wp:effectExtent l="0" t="0" r="0" b="127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_FR&amp;F.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00040" cy="3789680"/>
                    </a:xfrm>
                    <a:prstGeom prst="rect">
                      <a:avLst/>
                    </a:prstGeom>
                  </pic:spPr>
                </pic:pic>
              </a:graphicData>
            </a:graphic>
          </wp:inline>
        </w:drawing>
      </w:r>
    </w:p>
    <w:p w14:paraId="3D88449A" w14:textId="4A35798E" w:rsidR="00F81854" w:rsidRPr="00F81854" w:rsidRDefault="00F81854">
      <w:pPr>
        <w:pStyle w:val="VAFigureCaption"/>
      </w:pPr>
      <w:r w:rsidRPr="00EA1A18">
        <w:rPr>
          <w:b/>
        </w:rPr>
        <w:t xml:space="preserve">Figure 6. </w:t>
      </w:r>
      <w:r w:rsidRPr="004E6E25">
        <w:t xml:space="preserve">Performance of the biobased and commercial coating formulations: a) assessment of the fire resistance achieved by the coatings, b) assessment of the flame retardancy </w:t>
      </w:r>
      <w:r w:rsidR="004E6E25" w:rsidRPr="004E6E25">
        <w:t>achieved</w:t>
      </w:r>
      <w:r w:rsidRPr="004E6E25">
        <w:t xml:space="preserve"> by the coatings</w:t>
      </w:r>
    </w:p>
    <w:p w14:paraId="6747F1A3" w14:textId="4B295AD8" w:rsidR="0009511D" w:rsidRPr="00AC1A16" w:rsidRDefault="00F81854" w:rsidP="00F02EC0">
      <w:pPr>
        <w:pStyle w:val="TAMainText"/>
      </w:pPr>
      <w:r>
        <w:t xml:space="preserve">On the one hand, the integrity of the samples was determined by the </w:t>
      </w:r>
      <w:r w:rsidR="00746108" w:rsidRPr="00AC1A16">
        <w:t xml:space="preserve"> mass degradation of the wood samples after combustion, described as the percentage of wood remaining after fire exposure</w:t>
      </w:r>
      <w:r w:rsidR="00E43184" w:rsidRPr="00AC1A16">
        <w:t xml:space="preserve"> (</w:t>
      </w:r>
      <w:r>
        <w:t>Figure 6A</w:t>
      </w:r>
      <w:r w:rsidR="00746108" w:rsidRPr="00AC1A16">
        <w:t>).</w:t>
      </w:r>
      <w:r>
        <w:t xml:space="preserve"> Thus, it was evaluated</w:t>
      </w:r>
      <w:r w:rsidRPr="00AC1A16">
        <w:t xml:space="preserve"> the performance of the coating </w:t>
      </w:r>
      <w:r>
        <w:t>respecting</w:t>
      </w:r>
      <w:r w:rsidRPr="00AC1A16">
        <w:t xml:space="preserve"> the fire resistance of the wood samples.</w:t>
      </w:r>
    </w:p>
    <w:p w14:paraId="4196CBBD" w14:textId="3267523D" w:rsidR="00746108" w:rsidRPr="00C97718" w:rsidRDefault="00746108" w:rsidP="00F02EC0">
      <w:pPr>
        <w:pStyle w:val="TAMainText"/>
      </w:pPr>
      <w:r w:rsidRPr="00AC1A16">
        <w:t>Concerning the previous results, it was clear that the coatings achieved an enhanced thermal resistance of wood. Moreover, the coating application aided to maintain wood integrity during combustion. This was evidenced by the increment of the residue of wood remaining after combustion, which was between 1</w:t>
      </w:r>
      <w:r w:rsidR="00825A6D">
        <w:t>0-15%</w:t>
      </w:r>
      <w:r w:rsidRPr="00AC1A16">
        <w:t xml:space="preserve"> and </w:t>
      </w:r>
      <w:r w:rsidR="00825A6D">
        <w:t>up to 55%</w:t>
      </w:r>
      <w:r w:rsidRPr="00AC1A16">
        <w:t xml:space="preserve"> for the </w:t>
      </w:r>
      <w:r w:rsidR="00D0698A" w:rsidRPr="00AC1A16">
        <w:t>m</w:t>
      </w:r>
      <w:r w:rsidR="008616D1" w:rsidRPr="00AC1A16">
        <w:t>aritime pine wood</w:t>
      </w:r>
      <w:r w:rsidRPr="00AC1A16">
        <w:t xml:space="preserve"> and </w:t>
      </w:r>
      <w:r w:rsidR="00D0698A" w:rsidRPr="00AC1A16">
        <w:t>b</w:t>
      </w:r>
      <w:r w:rsidR="008616D1" w:rsidRPr="00AC1A16">
        <w:t>eech wood</w:t>
      </w:r>
      <w:r w:rsidRPr="00AC1A16">
        <w:t xml:space="preserve"> samples respectively. In both control and coated samples,</w:t>
      </w:r>
      <w:r w:rsidR="00825A6D">
        <w:t xml:space="preserve"> the wood species displayed a significant influence. Hence,</w:t>
      </w:r>
      <w:r w:rsidRPr="00AC1A16">
        <w:t xml:space="preserve"> it was observed that </w:t>
      </w:r>
      <w:r w:rsidR="00D0698A" w:rsidRPr="00AC1A16">
        <w:t>m</w:t>
      </w:r>
      <w:r w:rsidR="008616D1" w:rsidRPr="00AC1A16">
        <w:t>aritime pine</w:t>
      </w:r>
      <w:r w:rsidR="008616D1" w:rsidRPr="00AC1A16">
        <w:rPr>
          <w:i/>
        </w:rPr>
        <w:t xml:space="preserve"> </w:t>
      </w:r>
      <w:r w:rsidRPr="00AC1A16">
        <w:lastRenderedPageBreak/>
        <w:t xml:space="preserve">wood samples were burnt easier than those of </w:t>
      </w:r>
      <w:r w:rsidR="00D0698A" w:rsidRPr="00AC1A16">
        <w:t>b</w:t>
      </w:r>
      <w:r w:rsidR="008616D1" w:rsidRPr="00AC1A16">
        <w:t>eech wood</w:t>
      </w:r>
      <w:r w:rsidRPr="00AC1A16">
        <w:t>.</w:t>
      </w:r>
      <w:r w:rsidR="00825A6D">
        <w:t xml:space="preserve"> Within the</w:t>
      </w:r>
      <w:r w:rsidR="00C97718">
        <w:t xml:space="preserve"> biobased</w:t>
      </w:r>
      <w:r w:rsidR="00825A6D">
        <w:t xml:space="preserve"> coat</w:t>
      </w:r>
      <w:r w:rsidR="00C97718">
        <w:t>ings</w:t>
      </w:r>
      <w:r w:rsidR="00825A6D">
        <w:t xml:space="preserve">, it was observed that the </w:t>
      </w:r>
      <w:r w:rsidR="00C97718">
        <w:t>formulations with inorganic nanoparticles (R</w:t>
      </w:r>
      <w:r w:rsidR="00C97718">
        <w:rPr>
          <w:vertAlign w:val="subscript"/>
        </w:rPr>
        <w:t>A</w:t>
      </w:r>
      <w:r w:rsidR="00C97718">
        <w:t xml:space="preserve"> and R</w:t>
      </w:r>
      <w:r w:rsidR="00C97718">
        <w:rPr>
          <w:vertAlign w:val="subscript"/>
        </w:rPr>
        <w:t>B</w:t>
      </w:r>
      <w:r w:rsidR="00C97718">
        <w:t>) resulted in a fire resistance</w:t>
      </w:r>
      <w:r w:rsidR="0016224C">
        <w:t xml:space="preserve"> of the wood samples</w:t>
      </w:r>
      <w:r w:rsidR="00C97718">
        <w:t xml:space="preserve"> improved</w:t>
      </w:r>
      <w:r w:rsidR="0016224C">
        <w:t xml:space="preserve"> with respect</w:t>
      </w:r>
      <w:r w:rsidR="00C97718">
        <w:t xml:space="preserve"> to the Reference formulation. This was in agreement with the results obtained in the thermogravimetric analysis (TGA). This effect was more evidenced in the beech wood samples than the maritime pine ones. </w:t>
      </w:r>
      <w:r w:rsidR="00B93AE0">
        <w:t>C</w:t>
      </w:r>
      <w:r w:rsidR="00C97718">
        <w:t>ompared to commercial formulations (B77 and Quidedur), biobased coatings presented a similar performance in the maritime pine samples. However, in the beech ones the fire resistance achieved by the commercial formulation Quidedur was 10% higher, compared to the biobased formulations R</w:t>
      </w:r>
      <w:r w:rsidR="00C97718">
        <w:rPr>
          <w:vertAlign w:val="subscript"/>
        </w:rPr>
        <w:t>A</w:t>
      </w:r>
      <w:r w:rsidR="00C97718">
        <w:t>, R</w:t>
      </w:r>
      <w:r w:rsidR="00C97718">
        <w:rPr>
          <w:vertAlign w:val="subscript"/>
        </w:rPr>
        <w:t>B</w:t>
      </w:r>
      <w:r w:rsidR="00C97718">
        <w:t>. In both maritime pine and beech wood, the performance of the commercial coating B77 was lower than those of R</w:t>
      </w:r>
      <w:r w:rsidR="00C97718">
        <w:rPr>
          <w:vertAlign w:val="subscript"/>
        </w:rPr>
        <w:t xml:space="preserve">A </w:t>
      </w:r>
      <w:r w:rsidR="00C97718">
        <w:t>and R</w:t>
      </w:r>
      <w:r w:rsidR="00C97718">
        <w:rPr>
          <w:vertAlign w:val="subscript"/>
        </w:rPr>
        <w:t xml:space="preserve">B </w:t>
      </w:r>
      <w:r w:rsidR="00C97718">
        <w:t>(especially in later species). T</w:t>
      </w:r>
      <w:r w:rsidR="00B93AE0">
        <w:t>his</w:t>
      </w:r>
      <w:r w:rsidR="00C97718">
        <w:t xml:space="preserve"> was asso</w:t>
      </w:r>
      <w:r w:rsidR="002F228C">
        <w:t>ciated with the viscosity of the</w:t>
      </w:r>
      <w:r w:rsidR="00C97718">
        <w:t xml:space="preserve"> </w:t>
      </w:r>
      <w:r w:rsidR="00DD2B14">
        <w:t>coatings in the resin</w:t>
      </w:r>
      <w:r w:rsidR="002F228C">
        <w:t>s</w:t>
      </w:r>
      <w:r w:rsidR="00DD2B14">
        <w:t xml:space="preserve"> state. As showed previously in table </w:t>
      </w:r>
      <w:r w:rsidR="0016224C">
        <w:t xml:space="preserve">2, the viscosity of the biobased resins formulations </w:t>
      </w:r>
      <w:r w:rsidR="00726C58">
        <w:t>was considerably</w:t>
      </w:r>
      <w:r w:rsidR="0016224C">
        <w:t xml:space="preserve"> lower</w:t>
      </w:r>
      <w:r w:rsidR="00B93AE0">
        <w:t xml:space="preserve"> than that of B77</w:t>
      </w:r>
      <w:r w:rsidR="0016224C">
        <w:t xml:space="preserve">. Thus, a higher viscosity of this later formulation would </w:t>
      </w:r>
      <w:r w:rsidR="00726C58">
        <w:t>influence negatively</w:t>
      </w:r>
      <w:r w:rsidR="0016224C">
        <w:t xml:space="preserve"> its </w:t>
      </w:r>
      <w:r w:rsidR="00726C58">
        <w:t>deposition along the wood surface</w:t>
      </w:r>
      <w:r w:rsidR="0016224C">
        <w:t xml:space="preserve"> and</w:t>
      </w:r>
      <w:r w:rsidR="00726C58">
        <w:t xml:space="preserve"> its penetration into the wood pores,</w:t>
      </w:r>
      <w:r w:rsidR="0016224C">
        <w:t xml:space="preserve"> resulting </w:t>
      </w:r>
      <w:r w:rsidR="00726C58">
        <w:t xml:space="preserve">in a </w:t>
      </w:r>
      <w:r w:rsidR="0016224C">
        <w:t xml:space="preserve">worse </w:t>
      </w:r>
      <w:r w:rsidR="00726C58">
        <w:t>outcome</w:t>
      </w:r>
      <w:r w:rsidR="0016224C">
        <w:t>.</w:t>
      </w:r>
    </w:p>
    <w:p w14:paraId="5112EF2C" w14:textId="131F1D0C" w:rsidR="00746108" w:rsidRPr="00AC1A16" w:rsidRDefault="00B93AE0" w:rsidP="00F02EC0">
      <w:pPr>
        <w:pStyle w:val="TAMainText"/>
      </w:pPr>
      <w:r>
        <w:t xml:space="preserve">On the other hand, the flame retardancy of the wood samples before and after the application of the coatings was determined. Thereby, it was analyzed </w:t>
      </w:r>
      <w:r w:rsidR="00746108" w:rsidRPr="00AC1A16">
        <w:t xml:space="preserve"> the influence of the coating on the flame propagation along</w:t>
      </w:r>
      <w:r w:rsidR="00E43184" w:rsidRPr="00AC1A16">
        <w:t xml:space="preserve"> the wood. The results (</w:t>
      </w:r>
      <w:r w:rsidR="00EE1F46">
        <w:t>Figure 6B</w:t>
      </w:r>
      <w:r w:rsidR="00746108" w:rsidRPr="00AC1A16">
        <w:t>) showed a significant influence of the coatings on flame propagation. Thereby in control samples, the flames spread rapidly, whereas in the coated wood samples the advancement was slowed down. This was readily observed from the linear combustion speed (LCS), which was calc</w:t>
      </w:r>
      <w:r w:rsidR="00E43184" w:rsidRPr="00AC1A16">
        <w:t>ulated as depicted in equation 1</w:t>
      </w:r>
    </w:p>
    <w:p w14:paraId="5E6E38D5" w14:textId="395C1112" w:rsidR="00746108" w:rsidRPr="00AC1A16" w:rsidRDefault="00746108" w:rsidP="00F02EC0">
      <w:pPr>
        <w:pStyle w:val="TAMainText"/>
      </w:pPr>
      <w:r w:rsidRPr="00AC1A16">
        <w:t>LCS=</w:t>
      </w:r>
      <w:r w:rsidR="00E43184" w:rsidRPr="00AC1A16">
        <w:t>[L/t]∙[60s/min]</w:t>
      </w:r>
      <w:r w:rsidR="00E43184" w:rsidRPr="00AC1A16">
        <w:tab/>
      </w:r>
      <w:r w:rsidR="00E43184" w:rsidRPr="00AC1A16">
        <w:tab/>
      </w:r>
      <w:r w:rsidR="00E43184" w:rsidRPr="00AC1A16">
        <w:tab/>
      </w:r>
      <w:r w:rsidR="00E43184" w:rsidRPr="00AC1A16">
        <w:tab/>
        <w:t xml:space="preserve">           (1</w:t>
      </w:r>
      <w:r w:rsidRPr="00AC1A16">
        <w:t>)</w:t>
      </w:r>
    </w:p>
    <w:p w14:paraId="45873904" w14:textId="77777777" w:rsidR="00746108" w:rsidRPr="00AC1A16" w:rsidRDefault="00746108" w:rsidP="00F02EC0">
      <w:pPr>
        <w:pStyle w:val="TAMainText"/>
      </w:pPr>
      <w:r w:rsidRPr="00AC1A16">
        <w:t>where</w:t>
      </w:r>
      <w:r w:rsidRPr="00AC1A16">
        <w:tab/>
        <w:t>L: length of the wood sample damaged</w:t>
      </w:r>
    </w:p>
    <w:p w14:paraId="6FA32F08" w14:textId="77777777" w:rsidR="00746108" w:rsidRPr="00AC1A16" w:rsidRDefault="00746108" w:rsidP="00F02EC0">
      <w:pPr>
        <w:pStyle w:val="TAMainText"/>
      </w:pPr>
      <w:r w:rsidRPr="00AC1A16">
        <w:t>t: time elapsed during sample damage</w:t>
      </w:r>
    </w:p>
    <w:p w14:paraId="71572BF5" w14:textId="56449AF1" w:rsidR="00021FA3" w:rsidRDefault="002F228C" w:rsidP="00000A40">
      <w:pPr>
        <w:pStyle w:val="TAMainText"/>
        <w:spacing w:before="360"/>
        <w:ind w:firstLine="204"/>
      </w:pPr>
      <w:r>
        <w:lastRenderedPageBreak/>
        <w:t>In the case of the biobased coatings</w:t>
      </w:r>
      <w:r w:rsidR="00AE2704">
        <w:t>, i</w:t>
      </w:r>
      <w:r w:rsidR="00C504C8" w:rsidRPr="00AC1A16">
        <w:t>t was seen that the</w:t>
      </w:r>
      <w:r w:rsidR="002077A4">
        <w:t xml:space="preserve"> application of the</w:t>
      </w:r>
      <w:r w:rsidR="00C504C8" w:rsidRPr="00AC1A16">
        <w:t xml:space="preserve"> coating</w:t>
      </w:r>
      <w:r w:rsidR="002077A4">
        <w:t>s</w:t>
      </w:r>
      <w:r w:rsidR="00C504C8" w:rsidRPr="00AC1A16">
        <w:t xml:space="preserve"> reduced the linear combustion speed by 50% in </w:t>
      </w:r>
      <w:r w:rsidR="004151D9" w:rsidRPr="00AC1A16">
        <w:t>m</w:t>
      </w:r>
      <w:r w:rsidR="008616D1" w:rsidRPr="00AC1A16">
        <w:t>aritime pine</w:t>
      </w:r>
      <w:r w:rsidR="00C504C8" w:rsidRPr="00AC1A16">
        <w:t xml:space="preserve"> wood samples and by 70-80% in </w:t>
      </w:r>
      <w:r w:rsidR="00AE2704" w:rsidRPr="00EA1A18">
        <w:t>beech</w:t>
      </w:r>
      <w:r w:rsidR="00C504C8" w:rsidRPr="00AC1A16">
        <w:t xml:space="preserve"> wood samples approximately.</w:t>
      </w:r>
      <w:r>
        <w:t xml:space="preserve"> Moreover, it was observed a higher delay of the flame propagation in the R</w:t>
      </w:r>
      <w:r>
        <w:rPr>
          <w:vertAlign w:val="subscript"/>
        </w:rPr>
        <w:t>A</w:t>
      </w:r>
      <w:r>
        <w:t xml:space="preserve"> and R</w:t>
      </w:r>
      <w:r>
        <w:rPr>
          <w:vertAlign w:val="subscript"/>
        </w:rPr>
        <w:t>B</w:t>
      </w:r>
      <w:r w:rsidR="00C504C8" w:rsidRPr="00AC1A16">
        <w:t xml:space="preserve"> </w:t>
      </w:r>
      <w:r>
        <w:t xml:space="preserve">compared to the Reference. This confirmed the positive effect of the inorganic nanoparticles towards the fire protection of wood, which was already reported in the previous section. </w:t>
      </w:r>
      <w:r w:rsidR="003E1AB5">
        <w:t>Compared to the commercial formulation, it was seen that the biobased coatings displayed a similar efficiency respecting the flame retardancy. Thus, only significant divergences were detected between the biobased coatings and the formulation Quidedur in the case of maritime pine.</w:t>
      </w:r>
      <w:r w:rsidR="00C504C8" w:rsidRPr="00AC1A16">
        <w:t xml:space="preserve">This means that in those samples the coating provided a self-extinguishing effect for the flames. Considering the previous results and based on the standard method used (UNE-EN 60695-11-10:2014) the coatings were categorized regarding horizontal burning </w:t>
      </w:r>
      <w:r w:rsidR="003E1AB5">
        <w:t>between</w:t>
      </w:r>
      <w:r w:rsidR="003E1AB5" w:rsidRPr="00AC1A16">
        <w:t xml:space="preserve"> </w:t>
      </w:r>
      <w:r w:rsidR="003E1AB5">
        <w:t xml:space="preserve">HB </w:t>
      </w:r>
      <w:r w:rsidR="003E1AB5" w:rsidRPr="00AC1A16">
        <w:t>(self-extinguishing), meaning that the linear combustion speed was below 40 mm∙min</w:t>
      </w:r>
      <w:r w:rsidR="003E1AB5" w:rsidRPr="00AC1A16">
        <w:rPr>
          <w:vertAlign w:val="superscript"/>
        </w:rPr>
        <w:t>-1</w:t>
      </w:r>
      <w:r w:rsidR="003E1AB5">
        <w:rPr>
          <w:vertAlign w:val="superscript"/>
        </w:rPr>
        <w:t xml:space="preserve"> </w:t>
      </w:r>
      <w:r w:rsidR="003E1AB5">
        <w:t xml:space="preserve">and </w:t>
      </w:r>
      <w:r w:rsidR="003E1AB5" w:rsidRPr="00AC1A16">
        <w:t>H</w:t>
      </w:r>
      <w:r w:rsidR="003E1AB5">
        <w:t>B</w:t>
      </w:r>
      <w:r w:rsidR="003E1AB5" w:rsidRPr="00AC1A16">
        <w:t>75, meaning that their linear combustion speed was above 40 mm∙min</w:t>
      </w:r>
      <w:r w:rsidR="003E1AB5" w:rsidRPr="00AC1A16">
        <w:rPr>
          <w:vertAlign w:val="superscript"/>
        </w:rPr>
        <w:t xml:space="preserve">-1 </w:t>
      </w:r>
      <w:r w:rsidR="003E1AB5" w:rsidRPr="00AC1A16">
        <w:t>but below 75 mm∙min</w:t>
      </w:r>
      <w:r w:rsidR="003E1AB5" w:rsidRPr="00AC1A16">
        <w:rPr>
          <w:vertAlign w:val="superscript"/>
        </w:rPr>
        <w:t>-1</w:t>
      </w:r>
      <w:r w:rsidR="003E1AB5">
        <w:rPr>
          <w:vertAlign w:val="superscript"/>
        </w:rPr>
        <w:t xml:space="preserve"> </w:t>
      </w:r>
      <w:r w:rsidR="003E1AB5">
        <w:t xml:space="preserve"> as showed in figure 6B. </w:t>
      </w:r>
      <w:r w:rsidR="00C504C8" w:rsidRPr="00AC1A16">
        <w:t>In this respect,</w:t>
      </w:r>
      <w:r w:rsidR="003E1AB5">
        <w:t xml:space="preserve"> the best performance was achieved by the commercial formulation Quidedur (HB in the case of maritime pine and beech wood), followed by the biobased formulations R</w:t>
      </w:r>
      <w:r w:rsidR="003E1AB5">
        <w:rPr>
          <w:vertAlign w:val="subscript"/>
        </w:rPr>
        <w:t>A</w:t>
      </w:r>
      <w:r w:rsidR="003E1AB5">
        <w:t xml:space="preserve"> and R</w:t>
      </w:r>
      <w:r w:rsidR="003E1AB5">
        <w:rPr>
          <w:vertAlign w:val="subscript"/>
        </w:rPr>
        <w:t>B</w:t>
      </w:r>
      <w:r w:rsidR="003E1AB5">
        <w:t xml:space="preserve"> and the commercial one B77 (HB75 in maritime pine and HB in beech wood). The Reference formulation was not able to reach HB classification neither in maritime pine nor in beech wood.</w:t>
      </w:r>
      <w:r w:rsidR="00C504C8" w:rsidRPr="00AC1A16">
        <w:t xml:space="preserve">  as. </w:t>
      </w:r>
      <w:r w:rsidR="003E1AB5">
        <w:t>Based on the previous classification</w:t>
      </w:r>
      <w:r w:rsidR="00C504C8" w:rsidRPr="00AC1A16">
        <w:t>, the coatings</w:t>
      </w:r>
      <w:r w:rsidR="003E1AB5">
        <w:t xml:space="preserve"> HB</w:t>
      </w:r>
      <w:r w:rsidR="00C504C8" w:rsidRPr="00AC1A16">
        <w:t xml:space="preserve"> </w:t>
      </w:r>
      <w:r w:rsidR="003E1AB5">
        <w:t>w</w:t>
      </w:r>
      <w:r w:rsidR="00C504C8" w:rsidRPr="00AC1A16">
        <w:t>ould be appropriate  for the surface protection of wood structural elements and interior fittings</w:t>
      </w:r>
      <w:r w:rsidR="003E1AB5">
        <w:t xml:space="preserve">, whereas those </w:t>
      </w:r>
      <w:r w:rsidR="00021FA3">
        <w:t>with HB75 would preferably be used in wood exterior element</w:t>
      </w:r>
      <w:r w:rsidR="00C504C8" w:rsidRPr="00AC1A16">
        <w:t>.</w:t>
      </w:r>
    </w:p>
    <w:p w14:paraId="3FB72BCC" w14:textId="305EC991" w:rsidR="00F02EC0" w:rsidRDefault="00B40083" w:rsidP="00516550">
      <w:pPr>
        <w:pStyle w:val="TAMainText"/>
        <w:spacing w:before="360"/>
        <w:ind w:firstLine="204"/>
      </w:pPr>
      <w:r w:rsidRPr="00AC1A16">
        <w:t>From this assay, it was seen that</w:t>
      </w:r>
      <w:r w:rsidR="00021FA3">
        <w:t xml:space="preserve"> the coatings achieved a better performance regarding</w:t>
      </w:r>
      <w:r w:rsidRPr="00AC1A16">
        <w:t xml:space="preserve"> the thermal resistance of the samples and the flame propagation on </w:t>
      </w:r>
      <w:r w:rsidR="001D5A0C" w:rsidRPr="00AC1A16">
        <w:t>b</w:t>
      </w:r>
      <w:r w:rsidR="008616D1" w:rsidRPr="00AC1A16">
        <w:t>eech wood</w:t>
      </w:r>
      <w:r w:rsidRPr="00AC1A16">
        <w:t xml:space="preserve"> than in </w:t>
      </w:r>
      <w:r w:rsidR="001D5A0C" w:rsidRPr="00AC1A16">
        <w:lastRenderedPageBreak/>
        <w:t>m</w:t>
      </w:r>
      <w:r w:rsidR="008616D1" w:rsidRPr="00AC1A16">
        <w:t>aritime pine</w:t>
      </w:r>
      <w:r w:rsidRPr="00AC1A16">
        <w:t xml:space="preserve"> wood. This was attributed to a lower content of extracts of the former species that it is reported to have minor influence over the coating properties such as penetration and retention on the</w:t>
      </w:r>
      <w:r w:rsidR="000026B6" w:rsidRPr="00AC1A16">
        <w:t xml:space="preserve"> wood</w:t>
      </w:r>
      <w:r w:rsidR="00BE15F2" w:rsidRPr="00AC1A16">
        <w:fldChar w:fldCharType="begin" w:fldLock="1"/>
      </w:r>
      <w:r w:rsidR="00FF6389">
        <w:instrText>ADDIN CSL_CITATION { "citationItems" : [ { "id" : "ITEM-1", "itemData" : { "abstract" : "This paper gives a review of the state of the art of interfacial aspects in wood coatings research. It firstly covers the topics of penetration of the coatings into the wood pores from both an anatomical and a rheological point of view. Secondly results and methods for the determination of surface energies of wood are briefly reviewed. Thirdly the existing knowledge on adhesion of coatings on wood is described, including the aspects of wet adhesion. Finally the major gaps in knowledge are identified.", "author" : [ { "dropping-particle" : "", "family" : "Meijer", "given" : "Mari", "non-dropping-particle" : "De", "parse-names" : false, "suffix" : "" } ], "container-title" : "COST E18 Final Seminar: High performance wood coatings", "id" : "ITEM-1", "issued" : { "date-parts" : [ [ "2005" ] ] }, "page" : "16", "title" : "A review of interfacial aspects in wood coatings: wetting, surface energy, substrate penetration and adhesion", "type" : "paper-conference" }, "uris" : [ "http://www.mendeley.com/documents/?uuid=174d0772-d97d-37e4-9c38-73096a6a01b2" ] } ], "mendeley" : { "formattedCitation" : "&lt;sup&gt;63&lt;/sup&gt;", "plainTextFormattedCitation" : "63", "previouslyFormattedCitation" : "&lt;sup&gt;63&lt;/sup&gt;" }, "properties" : {  }, "schema" : "https://github.com/citation-style-language/schema/raw/master/csl-citation.json" }</w:instrText>
      </w:r>
      <w:r w:rsidR="00BE15F2" w:rsidRPr="00AC1A16">
        <w:fldChar w:fldCharType="separate"/>
      </w:r>
      <w:r w:rsidR="00FF6389" w:rsidRPr="00FF6389">
        <w:rPr>
          <w:noProof/>
          <w:vertAlign w:val="superscript"/>
        </w:rPr>
        <w:t>63</w:t>
      </w:r>
      <w:r w:rsidR="00BE15F2" w:rsidRPr="00AC1A16">
        <w:fldChar w:fldCharType="end"/>
      </w:r>
      <w:r w:rsidRPr="00AC1A16">
        <w:t xml:space="preserve">. Then, since a higher amount of coating was retained in the </w:t>
      </w:r>
      <w:r w:rsidR="001D5A0C" w:rsidRPr="00AC1A16">
        <w:t>b</w:t>
      </w:r>
      <w:r w:rsidR="008616D1" w:rsidRPr="00AC1A16">
        <w:t>eech</w:t>
      </w:r>
      <w:r w:rsidRPr="00AC1A16">
        <w:t xml:space="preserve"> wood samples, they showed and improved effect over the studied parameters compared to the </w:t>
      </w:r>
      <w:r w:rsidR="001D5A0C" w:rsidRPr="00AC1A16">
        <w:t>m</w:t>
      </w:r>
      <w:r w:rsidR="008616D1" w:rsidRPr="00AC1A16">
        <w:t>aritime pine</w:t>
      </w:r>
      <w:r w:rsidR="00516550">
        <w:t xml:space="preserve"> wood samples.</w:t>
      </w:r>
    </w:p>
    <w:p w14:paraId="3F677AF2" w14:textId="77777777" w:rsidR="00516550" w:rsidRPr="00AC1A16" w:rsidRDefault="00516550" w:rsidP="00516550">
      <w:pPr>
        <w:pStyle w:val="TAMainText"/>
        <w:spacing w:before="360"/>
        <w:ind w:firstLine="204"/>
      </w:pPr>
    </w:p>
    <w:p w14:paraId="206480D5" w14:textId="19301091" w:rsidR="003F033C" w:rsidRPr="00AC1A16" w:rsidRDefault="003F033C" w:rsidP="00F02EC0">
      <w:pPr>
        <w:pStyle w:val="TAMainText"/>
      </w:pPr>
      <w:r w:rsidRPr="00AC1A16">
        <w:t xml:space="preserve">Assessment of the </w:t>
      </w:r>
      <w:r w:rsidR="00B90C5D" w:rsidRPr="00AC1A16">
        <w:t>heat transfer</w:t>
      </w:r>
      <w:r w:rsidR="004551F7" w:rsidRPr="00AC1A16">
        <w:t xml:space="preserve"> properties</w:t>
      </w:r>
      <w:r w:rsidRPr="00AC1A16">
        <w:t xml:space="preserve"> of the coatings</w:t>
      </w:r>
    </w:p>
    <w:p w14:paraId="45A7DC26" w14:textId="58C3DC3F" w:rsidR="004551F7" w:rsidRPr="00AC1A16" w:rsidRDefault="004551F7" w:rsidP="00F02EC0">
      <w:pPr>
        <w:pStyle w:val="TAMainText"/>
      </w:pPr>
      <w:r w:rsidRPr="00AC1A16">
        <w:t xml:space="preserve">This analysis was performed to determine the influence of the coatings over the transfer of heat through the wood surface. </w:t>
      </w:r>
      <w:r w:rsidR="00F67D2C" w:rsidRPr="00AC1A16">
        <w:t xml:space="preserve">The results are shown in table </w:t>
      </w:r>
      <w:r w:rsidR="002F774C">
        <w:t>5</w:t>
      </w:r>
      <w:r w:rsidR="00F67D2C" w:rsidRPr="00AC1A16">
        <w:t>, displaying the values of the thermal conductivity and thermal diffusivity of the samples.</w:t>
      </w:r>
    </w:p>
    <w:p w14:paraId="3F901C01" w14:textId="6CE5390C" w:rsidR="00F67D2C" w:rsidRDefault="00F67D2C" w:rsidP="00F02EC0">
      <w:pPr>
        <w:pStyle w:val="VDTableTitle"/>
      </w:pPr>
      <w:r w:rsidRPr="00AC1A16">
        <w:rPr>
          <w:b/>
        </w:rPr>
        <w:t xml:space="preserve">Table </w:t>
      </w:r>
      <w:r w:rsidR="007E540B">
        <w:rPr>
          <w:b/>
        </w:rPr>
        <w:t>5</w:t>
      </w:r>
      <w:r w:rsidRPr="00AC1A16">
        <w:rPr>
          <w:b/>
        </w:rPr>
        <w:t>.</w:t>
      </w:r>
      <w:r w:rsidRPr="00AC1A16">
        <w:t xml:space="preserve"> Properties related to the heat transfer through the wood surface of the coated and uncoated samples.</w:t>
      </w:r>
    </w:p>
    <w:tbl>
      <w:tblPr>
        <w:tblStyle w:val="Tablaconcuadrcula"/>
        <w:tblW w:w="0" w:type="auto"/>
        <w:tblInd w:w="5" w:type="dxa"/>
        <w:tblLook w:val="04A0" w:firstRow="1" w:lastRow="0" w:firstColumn="1" w:lastColumn="0" w:noHBand="0" w:noVBand="1"/>
      </w:tblPr>
      <w:tblGrid>
        <w:gridCol w:w="2689"/>
        <w:gridCol w:w="2126"/>
        <w:gridCol w:w="1701"/>
        <w:gridCol w:w="1978"/>
      </w:tblGrid>
      <w:tr w:rsidR="007E540B" w14:paraId="5764D1D9" w14:textId="77777777" w:rsidTr="0022379E">
        <w:trPr>
          <w:trHeight w:val="218"/>
        </w:trPr>
        <w:tc>
          <w:tcPr>
            <w:tcW w:w="2689" w:type="dxa"/>
            <w:vMerge w:val="restart"/>
            <w:tcBorders>
              <w:left w:val="nil"/>
              <w:right w:val="nil"/>
            </w:tcBorders>
          </w:tcPr>
          <w:p w14:paraId="3D496B0F" w14:textId="77777777" w:rsidR="007E540B" w:rsidRPr="00F7522A" w:rsidRDefault="007E540B" w:rsidP="0022379E">
            <w:pPr>
              <w:pStyle w:val="TCTableBody"/>
            </w:pPr>
            <w:r w:rsidRPr="00F7522A">
              <w:t>Parameters</w:t>
            </w:r>
          </w:p>
        </w:tc>
        <w:tc>
          <w:tcPr>
            <w:tcW w:w="2126" w:type="dxa"/>
            <w:vMerge w:val="restart"/>
            <w:tcBorders>
              <w:top w:val="single" w:sz="4" w:space="0" w:color="auto"/>
              <w:left w:val="nil"/>
              <w:bottom w:val="single" w:sz="4" w:space="0" w:color="auto"/>
              <w:right w:val="nil"/>
            </w:tcBorders>
          </w:tcPr>
          <w:p w14:paraId="449CF7B0" w14:textId="77777777" w:rsidR="007E540B" w:rsidRPr="00F7522A" w:rsidRDefault="007E540B" w:rsidP="0022379E">
            <w:pPr>
              <w:pStyle w:val="TCTableBody"/>
            </w:pPr>
            <w:r w:rsidRPr="00F7522A">
              <w:t>Samples</w:t>
            </w:r>
          </w:p>
        </w:tc>
        <w:tc>
          <w:tcPr>
            <w:tcW w:w="3679" w:type="dxa"/>
            <w:gridSpan w:val="2"/>
            <w:tcBorders>
              <w:left w:val="nil"/>
              <w:bottom w:val="single" w:sz="4" w:space="0" w:color="auto"/>
              <w:right w:val="nil"/>
            </w:tcBorders>
          </w:tcPr>
          <w:p w14:paraId="54D70197" w14:textId="77777777" w:rsidR="007E540B" w:rsidRPr="00F7522A" w:rsidRDefault="007E540B" w:rsidP="0022379E">
            <w:pPr>
              <w:pStyle w:val="TCTableBody"/>
            </w:pPr>
            <w:r>
              <w:t>Wood species</w:t>
            </w:r>
          </w:p>
        </w:tc>
      </w:tr>
      <w:tr w:rsidR="007E540B" w14:paraId="11F1FA2B" w14:textId="77777777" w:rsidTr="0022379E">
        <w:trPr>
          <w:trHeight w:val="217"/>
        </w:trPr>
        <w:tc>
          <w:tcPr>
            <w:tcW w:w="2689" w:type="dxa"/>
            <w:vMerge/>
            <w:tcBorders>
              <w:left w:val="nil"/>
              <w:right w:val="nil"/>
            </w:tcBorders>
          </w:tcPr>
          <w:p w14:paraId="51D3636C" w14:textId="77777777" w:rsidR="007E540B" w:rsidRPr="00F7522A" w:rsidRDefault="007E540B" w:rsidP="0022379E">
            <w:pPr>
              <w:pStyle w:val="TCTableBody"/>
            </w:pPr>
          </w:p>
        </w:tc>
        <w:tc>
          <w:tcPr>
            <w:tcW w:w="2126" w:type="dxa"/>
            <w:vMerge/>
            <w:tcBorders>
              <w:top w:val="single" w:sz="4" w:space="0" w:color="auto"/>
              <w:left w:val="nil"/>
              <w:bottom w:val="single" w:sz="4" w:space="0" w:color="auto"/>
              <w:right w:val="nil"/>
            </w:tcBorders>
          </w:tcPr>
          <w:p w14:paraId="359A0E29" w14:textId="77777777" w:rsidR="007E540B" w:rsidRPr="00F7522A" w:rsidRDefault="007E540B" w:rsidP="0022379E">
            <w:pPr>
              <w:pStyle w:val="TCTableBody"/>
            </w:pPr>
          </w:p>
        </w:tc>
        <w:tc>
          <w:tcPr>
            <w:tcW w:w="1701" w:type="dxa"/>
            <w:tcBorders>
              <w:top w:val="single" w:sz="4" w:space="0" w:color="auto"/>
              <w:left w:val="nil"/>
              <w:bottom w:val="single" w:sz="4" w:space="0" w:color="auto"/>
              <w:right w:val="nil"/>
            </w:tcBorders>
          </w:tcPr>
          <w:p w14:paraId="721E1242" w14:textId="77777777" w:rsidR="007E540B" w:rsidRPr="00ED4AEC" w:rsidRDefault="007E540B" w:rsidP="0022379E">
            <w:pPr>
              <w:pStyle w:val="TCTableBody"/>
              <w:rPr>
                <w:b/>
              </w:rPr>
            </w:pPr>
            <w:r w:rsidRPr="00ED4AEC">
              <w:rPr>
                <w:b/>
              </w:rPr>
              <w:t>Maritime Pine</w:t>
            </w:r>
          </w:p>
        </w:tc>
        <w:tc>
          <w:tcPr>
            <w:tcW w:w="1978" w:type="dxa"/>
            <w:tcBorders>
              <w:top w:val="single" w:sz="4" w:space="0" w:color="auto"/>
              <w:left w:val="nil"/>
              <w:bottom w:val="single" w:sz="4" w:space="0" w:color="auto"/>
              <w:right w:val="nil"/>
            </w:tcBorders>
          </w:tcPr>
          <w:p w14:paraId="06AF663E" w14:textId="77777777" w:rsidR="007E540B" w:rsidRPr="00ED4AEC" w:rsidRDefault="007E540B" w:rsidP="0022379E">
            <w:pPr>
              <w:pStyle w:val="TCTableBody"/>
              <w:rPr>
                <w:b/>
              </w:rPr>
            </w:pPr>
            <w:r w:rsidRPr="00ED4AEC">
              <w:rPr>
                <w:b/>
              </w:rPr>
              <w:t>Beech</w:t>
            </w:r>
          </w:p>
        </w:tc>
      </w:tr>
      <w:tr w:rsidR="007E540B" w14:paraId="142EDD46" w14:textId="77777777" w:rsidTr="0022379E">
        <w:trPr>
          <w:trHeight w:val="146"/>
        </w:trPr>
        <w:tc>
          <w:tcPr>
            <w:tcW w:w="2689" w:type="dxa"/>
            <w:vMerge w:val="restart"/>
            <w:tcBorders>
              <w:left w:val="nil"/>
              <w:right w:val="nil"/>
            </w:tcBorders>
            <w:vAlign w:val="center"/>
          </w:tcPr>
          <w:p w14:paraId="0B170C74" w14:textId="77777777" w:rsidR="007E540B" w:rsidRPr="00F7522A" w:rsidRDefault="007E540B" w:rsidP="0022379E">
            <w:pPr>
              <w:pStyle w:val="TCTableBody"/>
            </w:pPr>
            <w:r w:rsidRPr="00AC1A16">
              <w:t>Conductivity (W∙m</w:t>
            </w:r>
            <w:r w:rsidRPr="00AC1A16">
              <w:rPr>
                <w:vertAlign w:val="superscript"/>
              </w:rPr>
              <w:t>-1</w:t>
            </w:r>
            <w:r w:rsidRPr="00AC1A16">
              <w:t>∙K</w:t>
            </w:r>
            <w:r w:rsidRPr="00AC1A16">
              <w:rPr>
                <w:vertAlign w:val="superscript"/>
              </w:rPr>
              <w:t>-1</w:t>
            </w:r>
            <w:r w:rsidRPr="00AC1A16">
              <w:t>)</w:t>
            </w:r>
          </w:p>
        </w:tc>
        <w:tc>
          <w:tcPr>
            <w:tcW w:w="2126" w:type="dxa"/>
            <w:tcBorders>
              <w:top w:val="single" w:sz="4" w:space="0" w:color="auto"/>
              <w:left w:val="nil"/>
              <w:bottom w:val="nil"/>
              <w:right w:val="nil"/>
            </w:tcBorders>
          </w:tcPr>
          <w:p w14:paraId="0E4586E6" w14:textId="77777777" w:rsidR="007E540B" w:rsidRPr="00F7522A" w:rsidRDefault="007E540B" w:rsidP="0022379E">
            <w:pPr>
              <w:pStyle w:val="TCTableBody"/>
            </w:pPr>
            <w:r>
              <w:t>Non coated</w:t>
            </w:r>
          </w:p>
        </w:tc>
        <w:tc>
          <w:tcPr>
            <w:tcW w:w="1701" w:type="dxa"/>
            <w:tcBorders>
              <w:top w:val="single" w:sz="4" w:space="0" w:color="auto"/>
              <w:left w:val="nil"/>
              <w:bottom w:val="nil"/>
              <w:right w:val="nil"/>
            </w:tcBorders>
          </w:tcPr>
          <w:p w14:paraId="1C54E758" w14:textId="77777777" w:rsidR="007E540B" w:rsidRPr="00F7522A" w:rsidRDefault="007E540B" w:rsidP="0022379E">
            <w:pPr>
              <w:pStyle w:val="TCTableBody"/>
            </w:pPr>
            <w:r>
              <w:rPr>
                <w:szCs w:val="24"/>
              </w:rPr>
              <w:t>0.17</w:t>
            </w:r>
            <w:r w:rsidRPr="00AC1A16">
              <w:rPr>
                <w:szCs w:val="24"/>
              </w:rPr>
              <w:t>±0.</w:t>
            </w:r>
            <w:r>
              <w:rPr>
                <w:szCs w:val="24"/>
              </w:rPr>
              <w:t>01</w:t>
            </w:r>
            <w:r w:rsidRPr="00FD602B">
              <w:rPr>
                <w:sz w:val="20"/>
              </w:rPr>
              <w:t>*</w:t>
            </w:r>
          </w:p>
        </w:tc>
        <w:tc>
          <w:tcPr>
            <w:tcW w:w="1978" w:type="dxa"/>
            <w:tcBorders>
              <w:top w:val="single" w:sz="4" w:space="0" w:color="auto"/>
              <w:left w:val="nil"/>
              <w:bottom w:val="nil"/>
              <w:right w:val="nil"/>
            </w:tcBorders>
          </w:tcPr>
          <w:p w14:paraId="003BE0E2" w14:textId="77777777" w:rsidR="007E540B" w:rsidRPr="00F7522A" w:rsidRDefault="007E540B" w:rsidP="0022379E">
            <w:pPr>
              <w:pStyle w:val="TCTableBody"/>
            </w:pPr>
            <w:r>
              <w:rPr>
                <w:szCs w:val="24"/>
              </w:rPr>
              <w:t>0.21</w:t>
            </w:r>
            <w:r w:rsidRPr="00AC1A16">
              <w:rPr>
                <w:szCs w:val="24"/>
              </w:rPr>
              <w:t>±0.</w:t>
            </w:r>
            <w:r>
              <w:rPr>
                <w:szCs w:val="24"/>
              </w:rPr>
              <w:t>01</w:t>
            </w:r>
            <w:r w:rsidRPr="00FD602B">
              <w:rPr>
                <w:sz w:val="20"/>
              </w:rPr>
              <w:t>*</w:t>
            </w:r>
          </w:p>
        </w:tc>
      </w:tr>
      <w:tr w:rsidR="007E540B" w14:paraId="1C8C24CE" w14:textId="77777777" w:rsidTr="0022379E">
        <w:trPr>
          <w:trHeight w:val="142"/>
        </w:trPr>
        <w:tc>
          <w:tcPr>
            <w:tcW w:w="2689" w:type="dxa"/>
            <w:vMerge/>
            <w:tcBorders>
              <w:left w:val="nil"/>
              <w:right w:val="nil"/>
            </w:tcBorders>
          </w:tcPr>
          <w:p w14:paraId="64EB8F7C" w14:textId="77777777" w:rsidR="007E540B" w:rsidRPr="00F7522A" w:rsidRDefault="007E540B" w:rsidP="0022379E">
            <w:pPr>
              <w:pStyle w:val="TCTableBody"/>
            </w:pPr>
          </w:p>
        </w:tc>
        <w:tc>
          <w:tcPr>
            <w:tcW w:w="2126" w:type="dxa"/>
            <w:tcBorders>
              <w:top w:val="nil"/>
              <w:left w:val="nil"/>
              <w:bottom w:val="nil"/>
              <w:right w:val="nil"/>
            </w:tcBorders>
          </w:tcPr>
          <w:p w14:paraId="3BEC7413" w14:textId="77777777" w:rsidR="007E540B" w:rsidRPr="00F7522A" w:rsidRDefault="007E540B" w:rsidP="0022379E">
            <w:pPr>
              <w:pStyle w:val="TCTableBody"/>
            </w:pPr>
            <w:r>
              <w:t>Coating Reference</w:t>
            </w:r>
          </w:p>
        </w:tc>
        <w:tc>
          <w:tcPr>
            <w:tcW w:w="1701" w:type="dxa"/>
            <w:tcBorders>
              <w:top w:val="nil"/>
              <w:left w:val="nil"/>
              <w:bottom w:val="nil"/>
              <w:right w:val="nil"/>
            </w:tcBorders>
          </w:tcPr>
          <w:p w14:paraId="792DDBC2" w14:textId="77777777" w:rsidR="007E540B" w:rsidRPr="00F7522A" w:rsidRDefault="007E540B" w:rsidP="0022379E">
            <w:pPr>
              <w:pStyle w:val="TCTableBody"/>
            </w:pPr>
            <w:r>
              <w:t>0.17</w:t>
            </w:r>
            <w:r w:rsidRPr="00AC1A16">
              <w:rPr>
                <w:szCs w:val="24"/>
              </w:rPr>
              <w:t>±</w:t>
            </w:r>
            <w:r>
              <w:rPr>
                <w:szCs w:val="24"/>
              </w:rPr>
              <w:t>0.01</w:t>
            </w:r>
            <w:r w:rsidRPr="00FD602B">
              <w:rPr>
                <w:sz w:val="20"/>
              </w:rPr>
              <w:t>*</w:t>
            </w:r>
          </w:p>
        </w:tc>
        <w:tc>
          <w:tcPr>
            <w:tcW w:w="1978" w:type="dxa"/>
            <w:tcBorders>
              <w:top w:val="nil"/>
              <w:left w:val="nil"/>
              <w:bottom w:val="nil"/>
              <w:right w:val="nil"/>
            </w:tcBorders>
          </w:tcPr>
          <w:p w14:paraId="6F54A007" w14:textId="77777777" w:rsidR="007E540B" w:rsidRPr="00F7522A" w:rsidRDefault="007E540B" w:rsidP="0022379E">
            <w:pPr>
              <w:pStyle w:val="TCTableBody"/>
            </w:pPr>
            <w:r>
              <w:t>0.20</w:t>
            </w:r>
            <w:r w:rsidRPr="00AC1A16">
              <w:rPr>
                <w:szCs w:val="24"/>
              </w:rPr>
              <w:t>±</w:t>
            </w:r>
            <w:r>
              <w:rPr>
                <w:szCs w:val="24"/>
              </w:rPr>
              <w:t>0.01</w:t>
            </w:r>
            <w:r w:rsidRPr="00FD602B">
              <w:rPr>
                <w:sz w:val="20"/>
              </w:rPr>
              <w:t>*</w:t>
            </w:r>
          </w:p>
        </w:tc>
      </w:tr>
      <w:tr w:rsidR="007E540B" w14:paraId="3118C91E" w14:textId="77777777" w:rsidTr="0022379E">
        <w:trPr>
          <w:trHeight w:val="142"/>
        </w:trPr>
        <w:tc>
          <w:tcPr>
            <w:tcW w:w="2689" w:type="dxa"/>
            <w:vMerge/>
            <w:tcBorders>
              <w:left w:val="nil"/>
              <w:right w:val="nil"/>
            </w:tcBorders>
          </w:tcPr>
          <w:p w14:paraId="476CBAD8" w14:textId="77777777" w:rsidR="007E540B" w:rsidRPr="00F7522A" w:rsidRDefault="007E540B" w:rsidP="0022379E">
            <w:pPr>
              <w:pStyle w:val="TCTableBody"/>
            </w:pPr>
          </w:p>
        </w:tc>
        <w:tc>
          <w:tcPr>
            <w:tcW w:w="2126" w:type="dxa"/>
            <w:tcBorders>
              <w:top w:val="nil"/>
              <w:left w:val="nil"/>
              <w:bottom w:val="nil"/>
              <w:right w:val="nil"/>
            </w:tcBorders>
          </w:tcPr>
          <w:p w14:paraId="3148B94D" w14:textId="77777777" w:rsidR="007E540B" w:rsidRPr="00F7522A" w:rsidRDefault="007E540B" w:rsidP="0022379E">
            <w:pPr>
              <w:pStyle w:val="TCTableBody"/>
            </w:pPr>
            <w:r>
              <w:t>Coating R</w:t>
            </w:r>
            <w:r w:rsidRPr="00ED4AEC">
              <w:rPr>
                <w:vertAlign w:val="subscript"/>
              </w:rPr>
              <w:t>A</w:t>
            </w:r>
          </w:p>
        </w:tc>
        <w:tc>
          <w:tcPr>
            <w:tcW w:w="1701" w:type="dxa"/>
            <w:tcBorders>
              <w:top w:val="nil"/>
              <w:left w:val="nil"/>
              <w:bottom w:val="nil"/>
              <w:right w:val="nil"/>
            </w:tcBorders>
            <w:vAlign w:val="center"/>
          </w:tcPr>
          <w:p w14:paraId="4DF987BA" w14:textId="77777777" w:rsidR="007E540B" w:rsidRPr="00F7522A" w:rsidRDefault="007E540B" w:rsidP="0022379E">
            <w:pPr>
              <w:pStyle w:val="TCTableBody"/>
            </w:pPr>
            <w:r>
              <w:rPr>
                <w:szCs w:val="24"/>
              </w:rPr>
              <w:t>0.18</w:t>
            </w:r>
            <w:r w:rsidRPr="00AC1A16">
              <w:rPr>
                <w:szCs w:val="24"/>
              </w:rPr>
              <w:t>±0.</w:t>
            </w:r>
            <w:r>
              <w:rPr>
                <w:szCs w:val="24"/>
              </w:rPr>
              <w:t>01</w:t>
            </w:r>
            <w:r w:rsidRPr="00FD602B">
              <w:rPr>
                <w:sz w:val="20"/>
              </w:rPr>
              <w:t>*</w:t>
            </w:r>
          </w:p>
        </w:tc>
        <w:tc>
          <w:tcPr>
            <w:tcW w:w="1978" w:type="dxa"/>
            <w:tcBorders>
              <w:top w:val="nil"/>
              <w:left w:val="nil"/>
              <w:bottom w:val="nil"/>
              <w:right w:val="nil"/>
            </w:tcBorders>
          </w:tcPr>
          <w:p w14:paraId="78D8D2B8" w14:textId="77777777" w:rsidR="007E540B" w:rsidRPr="00F7522A" w:rsidRDefault="007E540B" w:rsidP="0022379E">
            <w:pPr>
              <w:pStyle w:val="TCTableBody"/>
            </w:pPr>
            <w:r>
              <w:rPr>
                <w:szCs w:val="24"/>
              </w:rPr>
              <w:t>0.20</w:t>
            </w:r>
            <w:r w:rsidRPr="00AC1A16">
              <w:rPr>
                <w:szCs w:val="24"/>
              </w:rPr>
              <w:t>±0.</w:t>
            </w:r>
            <w:r>
              <w:rPr>
                <w:szCs w:val="24"/>
              </w:rPr>
              <w:t>01</w:t>
            </w:r>
            <w:r w:rsidRPr="00FD602B">
              <w:rPr>
                <w:sz w:val="20"/>
              </w:rPr>
              <w:t>*</w:t>
            </w:r>
          </w:p>
        </w:tc>
      </w:tr>
      <w:tr w:rsidR="007E540B" w14:paraId="2A3CBB85" w14:textId="77777777" w:rsidTr="0022379E">
        <w:trPr>
          <w:trHeight w:val="142"/>
        </w:trPr>
        <w:tc>
          <w:tcPr>
            <w:tcW w:w="2689" w:type="dxa"/>
            <w:vMerge/>
            <w:tcBorders>
              <w:left w:val="nil"/>
              <w:right w:val="nil"/>
            </w:tcBorders>
          </w:tcPr>
          <w:p w14:paraId="1EE84982" w14:textId="77777777" w:rsidR="007E540B" w:rsidRPr="00F7522A" w:rsidRDefault="007E540B" w:rsidP="0022379E">
            <w:pPr>
              <w:pStyle w:val="TCTableBody"/>
            </w:pPr>
          </w:p>
        </w:tc>
        <w:tc>
          <w:tcPr>
            <w:tcW w:w="2126" w:type="dxa"/>
            <w:tcBorders>
              <w:top w:val="nil"/>
              <w:left w:val="nil"/>
              <w:bottom w:val="nil"/>
              <w:right w:val="nil"/>
            </w:tcBorders>
          </w:tcPr>
          <w:p w14:paraId="5058D040" w14:textId="77777777" w:rsidR="007E540B" w:rsidRPr="00ED4AEC" w:rsidRDefault="007E540B" w:rsidP="0022379E">
            <w:pPr>
              <w:pStyle w:val="TCTableBody"/>
              <w:rPr>
                <w:vertAlign w:val="subscript"/>
              </w:rPr>
            </w:pPr>
            <w:r>
              <w:t>Coating R</w:t>
            </w:r>
            <w:r>
              <w:rPr>
                <w:vertAlign w:val="subscript"/>
              </w:rPr>
              <w:t>B</w:t>
            </w:r>
          </w:p>
        </w:tc>
        <w:tc>
          <w:tcPr>
            <w:tcW w:w="1701" w:type="dxa"/>
            <w:tcBorders>
              <w:top w:val="nil"/>
              <w:left w:val="nil"/>
              <w:bottom w:val="nil"/>
              <w:right w:val="nil"/>
            </w:tcBorders>
            <w:vAlign w:val="center"/>
          </w:tcPr>
          <w:p w14:paraId="7A3A00C9" w14:textId="77777777" w:rsidR="007E540B" w:rsidRPr="00F7522A" w:rsidRDefault="007E540B" w:rsidP="0022379E">
            <w:pPr>
              <w:pStyle w:val="TCTableBody"/>
            </w:pPr>
            <w:r>
              <w:rPr>
                <w:szCs w:val="24"/>
              </w:rPr>
              <w:t>0.17</w:t>
            </w:r>
            <w:r w:rsidRPr="00AC1A16">
              <w:rPr>
                <w:szCs w:val="24"/>
              </w:rPr>
              <w:t>±0.</w:t>
            </w:r>
            <w:r>
              <w:rPr>
                <w:szCs w:val="24"/>
              </w:rPr>
              <w:t>01</w:t>
            </w:r>
            <w:r w:rsidRPr="00FD602B">
              <w:rPr>
                <w:sz w:val="20"/>
              </w:rPr>
              <w:t>*</w:t>
            </w:r>
          </w:p>
        </w:tc>
        <w:tc>
          <w:tcPr>
            <w:tcW w:w="1978" w:type="dxa"/>
            <w:tcBorders>
              <w:top w:val="nil"/>
              <w:left w:val="nil"/>
              <w:bottom w:val="nil"/>
              <w:right w:val="nil"/>
            </w:tcBorders>
          </w:tcPr>
          <w:p w14:paraId="1E3D218C" w14:textId="77777777" w:rsidR="007E540B" w:rsidRPr="00F7522A" w:rsidRDefault="007E540B" w:rsidP="0022379E">
            <w:pPr>
              <w:pStyle w:val="TCTableBody"/>
            </w:pPr>
            <w:r>
              <w:rPr>
                <w:szCs w:val="24"/>
              </w:rPr>
              <w:t>0.21</w:t>
            </w:r>
            <w:r w:rsidRPr="00AC1A16">
              <w:rPr>
                <w:szCs w:val="24"/>
              </w:rPr>
              <w:t>±0.</w:t>
            </w:r>
            <w:r>
              <w:rPr>
                <w:szCs w:val="24"/>
              </w:rPr>
              <w:t>01</w:t>
            </w:r>
            <w:r w:rsidRPr="00FD602B">
              <w:rPr>
                <w:sz w:val="20"/>
              </w:rPr>
              <w:t>*</w:t>
            </w:r>
          </w:p>
        </w:tc>
      </w:tr>
      <w:tr w:rsidR="007E540B" w14:paraId="545C994E" w14:textId="77777777" w:rsidTr="0022379E">
        <w:trPr>
          <w:trHeight w:val="142"/>
        </w:trPr>
        <w:tc>
          <w:tcPr>
            <w:tcW w:w="2689" w:type="dxa"/>
            <w:vMerge/>
            <w:tcBorders>
              <w:left w:val="nil"/>
              <w:right w:val="nil"/>
            </w:tcBorders>
          </w:tcPr>
          <w:p w14:paraId="76F2B7FA" w14:textId="77777777" w:rsidR="007E540B" w:rsidRPr="00F7522A" w:rsidRDefault="007E540B" w:rsidP="0022379E">
            <w:pPr>
              <w:pStyle w:val="TCTableBody"/>
            </w:pPr>
          </w:p>
        </w:tc>
        <w:tc>
          <w:tcPr>
            <w:tcW w:w="2126" w:type="dxa"/>
            <w:tcBorders>
              <w:top w:val="nil"/>
              <w:left w:val="nil"/>
              <w:bottom w:val="nil"/>
              <w:right w:val="nil"/>
            </w:tcBorders>
          </w:tcPr>
          <w:p w14:paraId="5888E9C8" w14:textId="77777777" w:rsidR="007E540B" w:rsidRPr="00F7522A" w:rsidRDefault="007E540B" w:rsidP="0022379E">
            <w:pPr>
              <w:pStyle w:val="TCTableBody"/>
            </w:pPr>
            <w:r>
              <w:t>Coating B77</w:t>
            </w:r>
          </w:p>
        </w:tc>
        <w:tc>
          <w:tcPr>
            <w:tcW w:w="1701" w:type="dxa"/>
            <w:tcBorders>
              <w:top w:val="nil"/>
              <w:left w:val="nil"/>
              <w:bottom w:val="nil"/>
              <w:right w:val="nil"/>
            </w:tcBorders>
            <w:vAlign w:val="center"/>
          </w:tcPr>
          <w:p w14:paraId="177D7028" w14:textId="77777777" w:rsidR="007E540B" w:rsidRPr="00F7522A" w:rsidRDefault="007E540B" w:rsidP="0022379E">
            <w:pPr>
              <w:pStyle w:val="TCTableBody"/>
            </w:pPr>
            <w:r>
              <w:t>0.17</w:t>
            </w:r>
            <w:r w:rsidRPr="00AC1A16">
              <w:rPr>
                <w:szCs w:val="24"/>
              </w:rPr>
              <w:t>±</w:t>
            </w:r>
            <w:r>
              <w:rPr>
                <w:szCs w:val="24"/>
              </w:rPr>
              <w:t>0.01</w:t>
            </w:r>
            <w:r w:rsidRPr="00FD602B">
              <w:rPr>
                <w:sz w:val="20"/>
              </w:rPr>
              <w:t>*</w:t>
            </w:r>
          </w:p>
        </w:tc>
        <w:tc>
          <w:tcPr>
            <w:tcW w:w="1978" w:type="dxa"/>
            <w:tcBorders>
              <w:top w:val="nil"/>
              <w:left w:val="nil"/>
              <w:bottom w:val="nil"/>
              <w:right w:val="nil"/>
            </w:tcBorders>
          </w:tcPr>
          <w:p w14:paraId="4244617C" w14:textId="77777777" w:rsidR="007E540B" w:rsidRPr="00F7522A" w:rsidRDefault="007E540B" w:rsidP="0022379E">
            <w:pPr>
              <w:pStyle w:val="TCTableBody"/>
            </w:pPr>
            <w:r>
              <w:t>0.21</w:t>
            </w:r>
            <w:r w:rsidRPr="00AC1A16">
              <w:rPr>
                <w:szCs w:val="24"/>
              </w:rPr>
              <w:t>±</w:t>
            </w:r>
            <w:r>
              <w:rPr>
                <w:szCs w:val="24"/>
              </w:rPr>
              <w:t>0.01</w:t>
            </w:r>
            <w:r w:rsidRPr="00FD602B">
              <w:rPr>
                <w:sz w:val="20"/>
              </w:rPr>
              <w:t>*</w:t>
            </w:r>
          </w:p>
        </w:tc>
      </w:tr>
      <w:tr w:rsidR="007E540B" w14:paraId="47E16340" w14:textId="77777777" w:rsidTr="0022379E">
        <w:trPr>
          <w:trHeight w:val="142"/>
        </w:trPr>
        <w:tc>
          <w:tcPr>
            <w:tcW w:w="2689" w:type="dxa"/>
            <w:vMerge/>
            <w:tcBorders>
              <w:left w:val="nil"/>
              <w:bottom w:val="single" w:sz="4" w:space="0" w:color="auto"/>
              <w:right w:val="nil"/>
            </w:tcBorders>
          </w:tcPr>
          <w:p w14:paraId="7F721535" w14:textId="77777777" w:rsidR="007E540B" w:rsidRPr="00F7522A" w:rsidRDefault="007E540B" w:rsidP="0022379E">
            <w:pPr>
              <w:pStyle w:val="TCTableBody"/>
            </w:pPr>
          </w:p>
        </w:tc>
        <w:tc>
          <w:tcPr>
            <w:tcW w:w="2126" w:type="dxa"/>
            <w:tcBorders>
              <w:top w:val="nil"/>
              <w:left w:val="nil"/>
              <w:bottom w:val="single" w:sz="4" w:space="0" w:color="auto"/>
              <w:right w:val="nil"/>
            </w:tcBorders>
          </w:tcPr>
          <w:p w14:paraId="56A48438" w14:textId="77777777" w:rsidR="007E540B" w:rsidRPr="00F7522A" w:rsidRDefault="007E540B" w:rsidP="0022379E">
            <w:pPr>
              <w:pStyle w:val="TCTableBody"/>
            </w:pPr>
            <w:r>
              <w:t>Coating Quidedur</w:t>
            </w:r>
          </w:p>
        </w:tc>
        <w:tc>
          <w:tcPr>
            <w:tcW w:w="1701" w:type="dxa"/>
            <w:tcBorders>
              <w:top w:val="nil"/>
              <w:left w:val="nil"/>
              <w:bottom w:val="single" w:sz="4" w:space="0" w:color="auto"/>
              <w:right w:val="nil"/>
            </w:tcBorders>
          </w:tcPr>
          <w:p w14:paraId="00713CD4" w14:textId="77777777" w:rsidR="007E540B" w:rsidRPr="00F7522A" w:rsidRDefault="007E540B" w:rsidP="0022379E">
            <w:pPr>
              <w:pStyle w:val="TCTableBody"/>
            </w:pPr>
            <w:r>
              <w:t>0.17</w:t>
            </w:r>
            <w:r w:rsidRPr="00AC1A16">
              <w:rPr>
                <w:szCs w:val="24"/>
              </w:rPr>
              <w:t>±</w:t>
            </w:r>
            <w:r>
              <w:rPr>
                <w:szCs w:val="24"/>
              </w:rPr>
              <w:t>0.01</w:t>
            </w:r>
            <w:r w:rsidRPr="00FD602B">
              <w:rPr>
                <w:sz w:val="20"/>
              </w:rPr>
              <w:t>*</w:t>
            </w:r>
          </w:p>
        </w:tc>
        <w:tc>
          <w:tcPr>
            <w:tcW w:w="1978" w:type="dxa"/>
            <w:tcBorders>
              <w:top w:val="nil"/>
              <w:left w:val="nil"/>
              <w:bottom w:val="single" w:sz="4" w:space="0" w:color="auto"/>
              <w:right w:val="nil"/>
            </w:tcBorders>
          </w:tcPr>
          <w:p w14:paraId="13373463" w14:textId="77777777" w:rsidR="007E540B" w:rsidRPr="00F7522A" w:rsidRDefault="007E540B" w:rsidP="0022379E">
            <w:pPr>
              <w:pStyle w:val="TCTableBody"/>
            </w:pPr>
            <w:r>
              <w:t>0.24</w:t>
            </w:r>
            <w:r w:rsidRPr="00AC1A16">
              <w:rPr>
                <w:szCs w:val="24"/>
              </w:rPr>
              <w:t>±</w:t>
            </w:r>
            <w:r>
              <w:rPr>
                <w:szCs w:val="24"/>
              </w:rPr>
              <w:t>0.06</w:t>
            </w:r>
            <w:r w:rsidRPr="00FD602B">
              <w:rPr>
                <w:sz w:val="20"/>
              </w:rPr>
              <w:t>*</w:t>
            </w:r>
          </w:p>
        </w:tc>
      </w:tr>
      <w:tr w:rsidR="007E540B" w14:paraId="4AB59240" w14:textId="77777777" w:rsidTr="0022379E">
        <w:trPr>
          <w:trHeight w:val="146"/>
        </w:trPr>
        <w:tc>
          <w:tcPr>
            <w:tcW w:w="2689" w:type="dxa"/>
            <w:tcBorders>
              <w:left w:val="nil"/>
              <w:bottom w:val="nil"/>
              <w:right w:val="nil"/>
            </w:tcBorders>
            <w:vAlign w:val="center"/>
          </w:tcPr>
          <w:p w14:paraId="2CA976D0" w14:textId="77777777" w:rsidR="007E540B" w:rsidRPr="00AC1A16" w:rsidRDefault="007E540B" w:rsidP="0022379E">
            <w:pPr>
              <w:pStyle w:val="TCTableBody"/>
            </w:pPr>
          </w:p>
        </w:tc>
        <w:tc>
          <w:tcPr>
            <w:tcW w:w="2126" w:type="dxa"/>
            <w:tcBorders>
              <w:top w:val="single" w:sz="4" w:space="0" w:color="auto"/>
              <w:left w:val="nil"/>
              <w:bottom w:val="nil"/>
              <w:right w:val="nil"/>
            </w:tcBorders>
          </w:tcPr>
          <w:p w14:paraId="7C3FE293" w14:textId="77777777" w:rsidR="007E540B" w:rsidRDefault="007E540B" w:rsidP="0022379E">
            <w:pPr>
              <w:pStyle w:val="TCTableBody"/>
            </w:pPr>
            <w:r>
              <w:t>Non coated</w:t>
            </w:r>
          </w:p>
        </w:tc>
        <w:tc>
          <w:tcPr>
            <w:tcW w:w="1701" w:type="dxa"/>
            <w:tcBorders>
              <w:top w:val="single" w:sz="4" w:space="0" w:color="auto"/>
              <w:left w:val="nil"/>
              <w:bottom w:val="nil"/>
              <w:right w:val="nil"/>
            </w:tcBorders>
          </w:tcPr>
          <w:p w14:paraId="39E41983" w14:textId="77777777" w:rsidR="007E540B" w:rsidRDefault="007E540B" w:rsidP="0022379E">
            <w:pPr>
              <w:pStyle w:val="TCTableBody"/>
            </w:pPr>
            <w:r>
              <w:t>0.38</w:t>
            </w:r>
            <w:r w:rsidRPr="00AC1A16">
              <w:rPr>
                <w:szCs w:val="24"/>
              </w:rPr>
              <w:t>±0.</w:t>
            </w:r>
            <w:r>
              <w:rPr>
                <w:szCs w:val="24"/>
              </w:rPr>
              <w:t>01</w:t>
            </w:r>
            <w:r w:rsidRPr="00FD602B">
              <w:rPr>
                <w:sz w:val="20"/>
              </w:rPr>
              <w:t>*</w:t>
            </w:r>
          </w:p>
        </w:tc>
        <w:tc>
          <w:tcPr>
            <w:tcW w:w="1978" w:type="dxa"/>
            <w:tcBorders>
              <w:top w:val="single" w:sz="4" w:space="0" w:color="auto"/>
              <w:left w:val="nil"/>
              <w:bottom w:val="nil"/>
              <w:right w:val="nil"/>
            </w:tcBorders>
          </w:tcPr>
          <w:p w14:paraId="7EB39705" w14:textId="77777777" w:rsidR="007E540B" w:rsidRDefault="007E540B" w:rsidP="0022379E">
            <w:pPr>
              <w:pStyle w:val="TCTableBody"/>
            </w:pPr>
            <w:r>
              <w:t>0.35</w:t>
            </w:r>
            <w:r w:rsidRPr="00AC1A16">
              <w:rPr>
                <w:szCs w:val="24"/>
              </w:rPr>
              <w:t>±0.</w:t>
            </w:r>
            <w:r>
              <w:rPr>
                <w:szCs w:val="24"/>
              </w:rPr>
              <w:t>01</w:t>
            </w:r>
            <w:r w:rsidRPr="00FA54CE">
              <w:rPr>
                <w:rFonts w:cs="Times"/>
                <w:sz w:val="20"/>
                <w:vertAlign w:val="superscript"/>
              </w:rPr>
              <w:t>♠</w:t>
            </w:r>
          </w:p>
        </w:tc>
      </w:tr>
      <w:tr w:rsidR="007E540B" w14:paraId="7E421F2F" w14:textId="77777777" w:rsidTr="0022379E">
        <w:trPr>
          <w:trHeight w:val="146"/>
        </w:trPr>
        <w:tc>
          <w:tcPr>
            <w:tcW w:w="2689" w:type="dxa"/>
            <w:vMerge w:val="restart"/>
            <w:tcBorders>
              <w:top w:val="nil"/>
              <w:left w:val="nil"/>
              <w:right w:val="nil"/>
            </w:tcBorders>
            <w:vAlign w:val="center"/>
          </w:tcPr>
          <w:p w14:paraId="32B88FC5" w14:textId="77777777" w:rsidR="007E540B" w:rsidRPr="00F7522A" w:rsidRDefault="007E540B" w:rsidP="0022379E">
            <w:pPr>
              <w:pStyle w:val="TCTableBody"/>
            </w:pPr>
            <w:r w:rsidRPr="00AC1A16">
              <w:t>Diffusivity (mm</w:t>
            </w:r>
            <w:r w:rsidRPr="00AC1A16">
              <w:rPr>
                <w:vertAlign w:val="superscript"/>
              </w:rPr>
              <w:t>2</w:t>
            </w:r>
            <w:r w:rsidRPr="00AC1A16">
              <w:t>∙s</w:t>
            </w:r>
            <w:r w:rsidRPr="00AC1A16">
              <w:rPr>
                <w:vertAlign w:val="superscript"/>
              </w:rPr>
              <w:t>-1</w:t>
            </w:r>
            <w:r w:rsidRPr="00AC1A16">
              <w:t>)</w:t>
            </w:r>
          </w:p>
        </w:tc>
        <w:tc>
          <w:tcPr>
            <w:tcW w:w="2126" w:type="dxa"/>
            <w:tcBorders>
              <w:top w:val="nil"/>
              <w:left w:val="nil"/>
              <w:bottom w:val="nil"/>
              <w:right w:val="nil"/>
            </w:tcBorders>
          </w:tcPr>
          <w:p w14:paraId="6D704F55" w14:textId="77777777" w:rsidR="007E540B" w:rsidRPr="00F7522A" w:rsidRDefault="007E540B" w:rsidP="0022379E">
            <w:pPr>
              <w:pStyle w:val="TCTableBody"/>
            </w:pPr>
            <w:r>
              <w:t>Coating Reference</w:t>
            </w:r>
          </w:p>
        </w:tc>
        <w:tc>
          <w:tcPr>
            <w:tcW w:w="1701" w:type="dxa"/>
            <w:tcBorders>
              <w:top w:val="nil"/>
              <w:left w:val="nil"/>
              <w:bottom w:val="nil"/>
              <w:right w:val="nil"/>
            </w:tcBorders>
          </w:tcPr>
          <w:p w14:paraId="08A056C2" w14:textId="77777777" w:rsidR="007E540B" w:rsidRPr="00F7522A" w:rsidRDefault="007E540B" w:rsidP="0022379E">
            <w:pPr>
              <w:pStyle w:val="TCTableBody"/>
            </w:pPr>
            <w:r>
              <w:t>0.36</w:t>
            </w:r>
            <w:r w:rsidRPr="00AC1A16">
              <w:rPr>
                <w:szCs w:val="24"/>
              </w:rPr>
              <w:t>±</w:t>
            </w:r>
            <w:r>
              <w:rPr>
                <w:szCs w:val="24"/>
              </w:rPr>
              <w:t>0.02</w:t>
            </w:r>
            <w:r w:rsidRPr="00FD602B">
              <w:rPr>
                <w:sz w:val="20"/>
              </w:rPr>
              <w:t>*</w:t>
            </w:r>
          </w:p>
        </w:tc>
        <w:tc>
          <w:tcPr>
            <w:tcW w:w="1978" w:type="dxa"/>
            <w:tcBorders>
              <w:top w:val="nil"/>
              <w:left w:val="nil"/>
              <w:bottom w:val="nil"/>
              <w:right w:val="nil"/>
            </w:tcBorders>
          </w:tcPr>
          <w:p w14:paraId="0A2D1317" w14:textId="77777777" w:rsidR="007E540B" w:rsidRPr="00F7522A" w:rsidRDefault="007E540B" w:rsidP="0022379E">
            <w:pPr>
              <w:pStyle w:val="TCTableBody"/>
            </w:pPr>
            <w:r>
              <w:t>0.32</w:t>
            </w:r>
            <w:r w:rsidRPr="00AC1A16">
              <w:rPr>
                <w:szCs w:val="24"/>
              </w:rPr>
              <w:t>±</w:t>
            </w:r>
            <w:r>
              <w:rPr>
                <w:szCs w:val="24"/>
              </w:rPr>
              <w:t>0.01</w:t>
            </w:r>
            <w:r w:rsidRPr="00FA54CE">
              <w:rPr>
                <w:rFonts w:cs="Times"/>
                <w:sz w:val="20"/>
                <w:vertAlign w:val="superscript"/>
              </w:rPr>
              <w:t>♠</w:t>
            </w:r>
          </w:p>
        </w:tc>
      </w:tr>
      <w:tr w:rsidR="007E540B" w14:paraId="5CDEA5FA" w14:textId="77777777" w:rsidTr="0022379E">
        <w:trPr>
          <w:trHeight w:val="142"/>
        </w:trPr>
        <w:tc>
          <w:tcPr>
            <w:tcW w:w="2689" w:type="dxa"/>
            <w:vMerge/>
            <w:tcBorders>
              <w:left w:val="nil"/>
              <w:right w:val="nil"/>
            </w:tcBorders>
          </w:tcPr>
          <w:p w14:paraId="49B3595E" w14:textId="77777777" w:rsidR="007E540B" w:rsidRDefault="007E540B" w:rsidP="0022379E"/>
        </w:tc>
        <w:tc>
          <w:tcPr>
            <w:tcW w:w="2126" w:type="dxa"/>
            <w:tcBorders>
              <w:top w:val="nil"/>
              <w:left w:val="nil"/>
              <w:bottom w:val="nil"/>
              <w:right w:val="nil"/>
            </w:tcBorders>
          </w:tcPr>
          <w:p w14:paraId="00783867" w14:textId="77777777" w:rsidR="007E540B" w:rsidRDefault="007E540B" w:rsidP="0022379E">
            <w:r>
              <w:t>Coating R</w:t>
            </w:r>
            <w:r w:rsidRPr="00EB7447">
              <w:rPr>
                <w:vertAlign w:val="subscript"/>
              </w:rPr>
              <w:t>A</w:t>
            </w:r>
          </w:p>
        </w:tc>
        <w:tc>
          <w:tcPr>
            <w:tcW w:w="1701" w:type="dxa"/>
            <w:tcBorders>
              <w:top w:val="nil"/>
              <w:left w:val="nil"/>
              <w:bottom w:val="nil"/>
              <w:right w:val="nil"/>
            </w:tcBorders>
            <w:vAlign w:val="center"/>
          </w:tcPr>
          <w:p w14:paraId="1F188550" w14:textId="77777777" w:rsidR="007E540B" w:rsidRDefault="007E540B" w:rsidP="0022379E">
            <w:r>
              <w:rPr>
                <w:szCs w:val="24"/>
              </w:rPr>
              <w:t>0.36</w:t>
            </w:r>
            <w:r w:rsidRPr="00AC1A16">
              <w:rPr>
                <w:szCs w:val="24"/>
              </w:rPr>
              <w:t>±</w:t>
            </w:r>
            <w:r>
              <w:rPr>
                <w:szCs w:val="24"/>
              </w:rPr>
              <w:t>0.02</w:t>
            </w:r>
            <w:r w:rsidRPr="00FD602B">
              <w:rPr>
                <w:sz w:val="20"/>
              </w:rPr>
              <w:t>*</w:t>
            </w:r>
          </w:p>
        </w:tc>
        <w:tc>
          <w:tcPr>
            <w:tcW w:w="1978" w:type="dxa"/>
            <w:tcBorders>
              <w:top w:val="nil"/>
              <w:left w:val="nil"/>
              <w:bottom w:val="nil"/>
              <w:right w:val="nil"/>
            </w:tcBorders>
            <w:vAlign w:val="center"/>
          </w:tcPr>
          <w:p w14:paraId="0ABF02E4" w14:textId="77777777" w:rsidR="007E540B" w:rsidRDefault="007E540B" w:rsidP="0022379E">
            <w:r>
              <w:rPr>
                <w:szCs w:val="24"/>
              </w:rPr>
              <w:t>0.32</w:t>
            </w:r>
            <w:r w:rsidRPr="00AC1A16">
              <w:rPr>
                <w:szCs w:val="24"/>
              </w:rPr>
              <w:t>±0.</w:t>
            </w:r>
            <w:r>
              <w:rPr>
                <w:szCs w:val="24"/>
              </w:rPr>
              <w:t>01</w:t>
            </w:r>
            <w:r w:rsidRPr="00FA54CE">
              <w:rPr>
                <w:rFonts w:cs="Times"/>
                <w:sz w:val="20"/>
                <w:vertAlign w:val="superscript"/>
              </w:rPr>
              <w:t>♠</w:t>
            </w:r>
          </w:p>
        </w:tc>
      </w:tr>
      <w:tr w:rsidR="007E540B" w14:paraId="00D917BF" w14:textId="77777777" w:rsidTr="0022379E">
        <w:trPr>
          <w:trHeight w:val="142"/>
        </w:trPr>
        <w:tc>
          <w:tcPr>
            <w:tcW w:w="2689" w:type="dxa"/>
            <w:vMerge/>
            <w:tcBorders>
              <w:left w:val="nil"/>
              <w:right w:val="nil"/>
            </w:tcBorders>
          </w:tcPr>
          <w:p w14:paraId="64925267" w14:textId="77777777" w:rsidR="007E540B" w:rsidRDefault="007E540B" w:rsidP="0022379E"/>
        </w:tc>
        <w:tc>
          <w:tcPr>
            <w:tcW w:w="2126" w:type="dxa"/>
            <w:tcBorders>
              <w:top w:val="nil"/>
              <w:left w:val="nil"/>
              <w:bottom w:val="nil"/>
              <w:right w:val="nil"/>
            </w:tcBorders>
          </w:tcPr>
          <w:p w14:paraId="5C703533" w14:textId="77777777" w:rsidR="007E540B" w:rsidRDefault="007E540B" w:rsidP="0022379E">
            <w:r>
              <w:t>Coating R</w:t>
            </w:r>
            <w:r>
              <w:rPr>
                <w:vertAlign w:val="subscript"/>
              </w:rPr>
              <w:t>B</w:t>
            </w:r>
          </w:p>
        </w:tc>
        <w:tc>
          <w:tcPr>
            <w:tcW w:w="1701" w:type="dxa"/>
            <w:tcBorders>
              <w:top w:val="nil"/>
              <w:left w:val="nil"/>
              <w:bottom w:val="nil"/>
              <w:right w:val="nil"/>
            </w:tcBorders>
          </w:tcPr>
          <w:p w14:paraId="57B5C210" w14:textId="77777777" w:rsidR="007E540B" w:rsidRDefault="007E540B" w:rsidP="0022379E">
            <w:r>
              <w:rPr>
                <w:szCs w:val="24"/>
              </w:rPr>
              <w:t>0.35</w:t>
            </w:r>
            <w:r w:rsidRPr="00AC1A16">
              <w:rPr>
                <w:szCs w:val="24"/>
              </w:rPr>
              <w:t>±0.</w:t>
            </w:r>
            <w:r>
              <w:rPr>
                <w:szCs w:val="24"/>
              </w:rPr>
              <w:t>01</w:t>
            </w:r>
            <w:r w:rsidRPr="00FD602B">
              <w:rPr>
                <w:sz w:val="20"/>
              </w:rPr>
              <w:t>*</w:t>
            </w:r>
          </w:p>
        </w:tc>
        <w:tc>
          <w:tcPr>
            <w:tcW w:w="1978" w:type="dxa"/>
            <w:tcBorders>
              <w:top w:val="nil"/>
              <w:left w:val="nil"/>
              <w:bottom w:val="nil"/>
              <w:right w:val="nil"/>
            </w:tcBorders>
          </w:tcPr>
          <w:p w14:paraId="72E2C629" w14:textId="77777777" w:rsidR="007E540B" w:rsidRDefault="007E540B" w:rsidP="0022379E">
            <w:r>
              <w:rPr>
                <w:szCs w:val="24"/>
              </w:rPr>
              <w:t>0.33</w:t>
            </w:r>
            <w:r w:rsidRPr="00AC1A16">
              <w:rPr>
                <w:szCs w:val="24"/>
              </w:rPr>
              <w:t>±</w:t>
            </w:r>
            <w:r>
              <w:rPr>
                <w:szCs w:val="24"/>
              </w:rPr>
              <w:t>0.02</w:t>
            </w:r>
            <w:r w:rsidRPr="00FA54CE">
              <w:rPr>
                <w:rFonts w:cs="Times"/>
                <w:sz w:val="20"/>
                <w:vertAlign w:val="superscript"/>
              </w:rPr>
              <w:t>♠</w:t>
            </w:r>
          </w:p>
        </w:tc>
      </w:tr>
      <w:tr w:rsidR="007E540B" w14:paraId="12F488F0" w14:textId="77777777" w:rsidTr="0022379E">
        <w:trPr>
          <w:trHeight w:val="142"/>
        </w:trPr>
        <w:tc>
          <w:tcPr>
            <w:tcW w:w="2689" w:type="dxa"/>
            <w:vMerge/>
            <w:tcBorders>
              <w:left w:val="nil"/>
              <w:right w:val="nil"/>
            </w:tcBorders>
          </w:tcPr>
          <w:p w14:paraId="2370AFD0" w14:textId="77777777" w:rsidR="007E540B" w:rsidRDefault="007E540B" w:rsidP="0022379E"/>
        </w:tc>
        <w:tc>
          <w:tcPr>
            <w:tcW w:w="2126" w:type="dxa"/>
            <w:tcBorders>
              <w:top w:val="nil"/>
              <w:left w:val="nil"/>
              <w:bottom w:val="nil"/>
              <w:right w:val="nil"/>
            </w:tcBorders>
          </w:tcPr>
          <w:p w14:paraId="35158599" w14:textId="77777777" w:rsidR="007E540B" w:rsidRDefault="007E540B" w:rsidP="0022379E">
            <w:r>
              <w:t>Coating B77</w:t>
            </w:r>
          </w:p>
        </w:tc>
        <w:tc>
          <w:tcPr>
            <w:tcW w:w="1701" w:type="dxa"/>
            <w:tcBorders>
              <w:top w:val="nil"/>
              <w:left w:val="nil"/>
              <w:bottom w:val="nil"/>
              <w:right w:val="nil"/>
            </w:tcBorders>
            <w:vAlign w:val="center"/>
          </w:tcPr>
          <w:p w14:paraId="15B3050E" w14:textId="77777777" w:rsidR="007E540B" w:rsidRDefault="007E540B" w:rsidP="0022379E">
            <w:r>
              <w:t>0.37</w:t>
            </w:r>
            <w:r w:rsidRPr="00AC1A16">
              <w:rPr>
                <w:szCs w:val="24"/>
              </w:rPr>
              <w:t>±</w:t>
            </w:r>
            <w:r>
              <w:rPr>
                <w:szCs w:val="24"/>
              </w:rPr>
              <w:t>0.06</w:t>
            </w:r>
            <w:r w:rsidRPr="00FD602B">
              <w:rPr>
                <w:sz w:val="20"/>
              </w:rPr>
              <w:t>*</w:t>
            </w:r>
          </w:p>
        </w:tc>
        <w:tc>
          <w:tcPr>
            <w:tcW w:w="1978" w:type="dxa"/>
            <w:tcBorders>
              <w:top w:val="nil"/>
              <w:left w:val="nil"/>
              <w:bottom w:val="nil"/>
              <w:right w:val="nil"/>
            </w:tcBorders>
            <w:vAlign w:val="center"/>
          </w:tcPr>
          <w:p w14:paraId="0FD5AA57" w14:textId="77777777" w:rsidR="007E540B" w:rsidRDefault="007E540B" w:rsidP="0022379E">
            <w:r>
              <w:t>0.33</w:t>
            </w:r>
            <w:r w:rsidRPr="00AC1A16">
              <w:rPr>
                <w:szCs w:val="24"/>
              </w:rPr>
              <w:t>±</w:t>
            </w:r>
            <w:r>
              <w:rPr>
                <w:szCs w:val="24"/>
              </w:rPr>
              <w:t>0.01</w:t>
            </w:r>
            <w:r w:rsidRPr="00FA54CE">
              <w:rPr>
                <w:rFonts w:cs="Times"/>
                <w:sz w:val="20"/>
                <w:vertAlign w:val="superscript"/>
              </w:rPr>
              <w:t>♠</w:t>
            </w:r>
          </w:p>
        </w:tc>
      </w:tr>
      <w:tr w:rsidR="007E540B" w14:paraId="13F99A97" w14:textId="77777777" w:rsidTr="0022379E">
        <w:trPr>
          <w:trHeight w:val="142"/>
        </w:trPr>
        <w:tc>
          <w:tcPr>
            <w:tcW w:w="2689" w:type="dxa"/>
            <w:vMerge/>
            <w:tcBorders>
              <w:left w:val="nil"/>
              <w:bottom w:val="single" w:sz="4" w:space="0" w:color="auto"/>
              <w:right w:val="nil"/>
            </w:tcBorders>
          </w:tcPr>
          <w:p w14:paraId="4A36194B" w14:textId="77777777" w:rsidR="007E540B" w:rsidRDefault="007E540B" w:rsidP="0022379E"/>
        </w:tc>
        <w:tc>
          <w:tcPr>
            <w:tcW w:w="2126" w:type="dxa"/>
            <w:tcBorders>
              <w:top w:val="nil"/>
              <w:left w:val="nil"/>
              <w:bottom w:val="single" w:sz="4" w:space="0" w:color="auto"/>
              <w:right w:val="nil"/>
            </w:tcBorders>
          </w:tcPr>
          <w:p w14:paraId="187539FD" w14:textId="77777777" w:rsidR="007E540B" w:rsidRDefault="007E540B" w:rsidP="0022379E">
            <w:r>
              <w:t>Coating Quidedur</w:t>
            </w:r>
          </w:p>
        </w:tc>
        <w:tc>
          <w:tcPr>
            <w:tcW w:w="1701" w:type="dxa"/>
            <w:tcBorders>
              <w:top w:val="nil"/>
              <w:left w:val="nil"/>
              <w:bottom w:val="single" w:sz="4" w:space="0" w:color="auto"/>
              <w:right w:val="nil"/>
            </w:tcBorders>
          </w:tcPr>
          <w:p w14:paraId="643E51B6" w14:textId="77777777" w:rsidR="007E540B" w:rsidRDefault="007E540B" w:rsidP="0022379E">
            <w:r>
              <w:t>0.33</w:t>
            </w:r>
            <w:r w:rsidRPr="00AC1A16">
              <w:rPr>
                <w:szCs w:val="24"/>
              </w:rPr>
              <w:t>±</w:t>
            </w:r>
            <w:r>
              <w:rPr>
                <w:szCs w:val="24"/>
              </w:rPr>
              <w:t>0.06</w:t>
            </w:r>
            <w:r w:rsidRPr="00FD602B">
              <w:rPr>
                <w:sz w:val="20"/>
              </w:rPr>
              <w:t>*</w:t>
            </w:r>
          </w:p>
        </w:tc>
        <w:tc>
          <w:tcPr>
            <w:tcW w:w="1978" w:type="dxa"/>
            <w:tcBorders>
              <w:top w:val="nil"/>
              <w:left w:val="nil"/>
              <w:bottom w:val="single" w:sz="4" w:space="0" w:color="auto"/>
              <w:right w:val="nil"/>
            </w:tcBorders>
          </w:tcPr>
          <w:p w14:paraId="45D192CD" w14:textId="77777777" w:rsidR="007E540B" w:rsidRDefault="007E540B" w:rsidP="0022379E">
            <w:r>
              <w:t>0.33</w:t>
            </w:r>
            <w:r w:rsidRPr="00AC1A16">
              <w:rPr>
                <w:szCs w:val="24"/>
              </w:rPr>
              <w:t>±</w:t>
            </w:r>
            <w:r>
              <w:rPr>
                <w:szCs w:val="24"/>
              </w:rPr>
              <w:t>0.01</w:t>
            </w:r>
            <w:r w:rsidRPr="00FA54CE">
              <w:rPr>
                <w:rFonts w:cs="Times"/>
                <w:sz w:val="20"/>
                <w:vertAlign w:val="superscript"/>
              </w:rPr>
              <w:t>♠</w:t>
            </w:r>
          </w:p>
        </w:tc>
      </w:tr>
      <w:tr w:rsidR="007E540B" w14:paraId="06409481" w14:textId="77777777" w:rsidTr="0022379E">
        <w:trPr>
          <w:trHeight w:val="142"/>
        </w:trPr>
        <w:tc>
          <w:tcPr>
            <w:tcW w:w="8494" w:type="dxa"/>
            <w:gridSpan w:val="4"/>
            <w:tcBorders>
              <w:left w:val="nil"/>
              <w:bottom w:val="nil"/>
              <w:right w:val="nil"/>
            </w:tcBorders>
          </w:tcPr>
          <w:p w14:paraId="69AC5DB5" w14:textId="77777777" w:rsidR="007E540B" w:rsidRPr="00FA54CE" w:rsidRDefault="007E540B" w:rsidP="0022379E">
            <w:pPr>
              <w:spacing w:after="0"/>
              <w:rPr>
                <w:sz w:val="18"/>
                <w:szCs w:val="18"/>
              </w:rPr>
            </w:pPr>
            <w:r w:rsidRPr="00FA54CE">
              <w:rPr>
                <w:sz w:val="18"/>
                <w:szCs w:val="18"/>
              </w:rPr>
              <w:t xml:space="preserve">ANOVAOneWay: *The population means are not significantly different at the 0.05 level. </w:t>
            </w:r>
            <w:r w:rsidRPr="00FA54CE">
              <w:rPr>
                <w:rFonts w:cs="Times"/>
                <w:sz w:val="18"/>
                <w:szCs w:val="18"/>
                <w:vertAlign w:val="superscript"/>
              </w:rPr>
              <w:t>♠</w:t>
            </w:r>
            <w:r w:rsidRPr="00FA54CE">
              <w:rPr>
                <w:sz w:val="18"/>
                <w:szCs w:val="18"/>
              </w:rPr>
              <w:t>The population means are significantly different at the 0.05 level. Bonferroni and Tukey test among the same wood specie:</w:t>
            </w:r>
            <w:r w:rsidRPr="00FA54CE">
              <w:rPr>
                <w:sz w:val="18"/>
                <w:szCs w:val="18"/>
                <w:vertAlign w:val="superscript"/>
              </w:rPr>
              <w:t xml:space="preserve"> </w:t>
            </w:r>
            <w:r w:rsidRPr="00FA54CE">
              <w:rPr>
                <w:sz w:val="18"/>
                <w:szCs w:val="18"/>
              </w:rPr>
              <w:t>No number in superscript indicates that the difference of the mean is not significant at the 0.05 level.</w:t>
            </w:r>
          </w:p>
          <w:p w14:paraId="1493D434" w14:textId="77777777" w:rsidR="007E540B" w:rsidRDefault="007E540B" w:rsidP="0022379E"/>
        </w:tc>
      </w:tr>
    </w:tbl>
    <w:p w14:paraId="01C5CCB0" w14:textId="2F1208FC" w:rsidR="007E540B" w:rsidRPr="007E540B" w:rsidRDefault="007E540B" w:rsidP="00EA1A18"/>
    <w:p w14:paraId="249BF15C" w14:textId="58EF8BEF" w:rsidR="00EB46E0" w:rsidRPr="00AC1A16" w:rsidRDefault="00E6262D" w:rsidP="00F02EC0">
      <w:pPr>
        <w:pStyle w:val="TAMainText"/>
        <w:spacing w:before="360"/>
        <w:ind w:firstLine="204"/>
      </w:pPr>
      <w:r w:rsidRPr="00AC1A16">
        <w:t>The overall result of these properties were statistically explored by ANOVA test with a level of significance of 99%.</w:t>
      </w:r>
      <w:r w:rsidR="005E7DE2" w:rsidRPr="00AC1A16">
        <w:t xml:space="preserve"> The results of the ANOVA</w:t>
      </w:r>
      <w:r w:rsidR="0058341D" w:rsidRPr="00AC1A16">
        <w:t xml:space="preserve"> test</w:t>
      </w:r>
      <w:r w:rsidR="005E7DE2" w:rsidRPr="00AC1A16">
        <w:t xml:space="preserve"> are presented in tables D2 and D3 of Appendix D. </w:t>
      </w:r>
      <w:r w:rsidR="0094400E" w:rsidRPr="00AC1A16">
        <w:t>I</w:t>
      </w:r>
      <w:r w:rsidR="005E7DE2" w:rsidRPr="00AC1A16">
        <w:t>t was confirmed that</w:t>
      </w:r>
      <w:r w:rsidR="002F774C">
        <w:t xml:space="preserve"> in the majority of the cases</w:t>
      </w:r>
      <w:r w:rsidR="00EB46E0" w:rsidRPr="00AC1A16">
        <w:t xml:space="preserve"> the values of the thermal conductivity and diffusivity for the </w:t>
      </w:r>
      <w:r w:rsidR="005E7DE2" w:rsidRPr="00AC1A16">
        <w:t>control wood samples and the coated ones w</w:t>
      </w:r>
      <w:r w:rsidR="0094400E" w:rsidRPr="00AC1A16">
        <w:t>ere not significantly different, since the mean values of both properties were statistically equal for each specie.</w:t>
      </w:r>
      <w:r w:rsidR="002F774C">
        <w:t xml:space="preserve"> Thereby </w:t>
      </w:r>
      <w:r w:rsidR="005E7DE2" w:rsidRPr="00AC1A16">
        <w:t xml:space="preserve"> the deposition of the coating did not alter the properties of wood related to the heat transfer</w:t>
      </w:r>
      <w:r w:rsidR="003D1B27" w:rsidRPr="00AC1A16">
        <w:t>.</w:t>
      </w:r>
      <w:r w:rsidR="005E7DE2" w:rsidRPr="00AC1A16">
        <w:t xml:space="preserve"> This would be of interest </w:t>
      </w:r>
      <w:r w:rsidR="003D1B27" w:rsidRPr="00AC1A16">
        <w:t>for a future utilization of the coatings as a product in the wood industry for wood products and interior fittings.</w:t>
      </w:r>
      <w:r w:rsidR="00A03C81" w:rsidRPr="00AC1A16">
        <w:t xml:space="preserve"> Hence, these elements would maintain the</w:t>
      </w:r>
      <w:r w:rsidR="0058341D" w:rsidRPr="00AC1A16">
        <w:t>ir thermal properties intact (</w:t>
      </w:r>
      <w:r w:rsidR="00A03C81" w:rsidRPr="00AC1A16">
        <w:t>concerning the heat transfer</w:t>
      </w:r>
      <w:r w:rsidR="0058341D" w:rsidRPr="00AC1A16">
        <w:t>)</w:t>
      </w:r>
      <w:r w:rsidR="0094400E" w:rsidRPr="00AC1A16">
        <w:t xml:space="preserve"> but</w:t>
      </w:r>
      <w:r w:rsidR="0058341D" w:rsidRPr="00AC1A16">
        <w:t xml:space="preserve"> with enhanced </w:t>
      </w:r>
      <w:r w:rsidR="00A03C81" w:rsidRPr="00AC1A16">
        <w:t>thermal resistance.</w:t>
      </w:r>
      <w:r w:rsidR="002F774C">
        <w:t xml:space="preserve"> The aforementioned tendency was observed, </w:t>
      </w:r>
      <w:r w:rsidR="00D55ABA">
        <w:t>for both the biobased coating formulations and the</w:t>
      </w:r>
      <w:r w:rsidR="002F774C">
        <w:t xml:space="preserve"> commercial ones.</w:t>
      </w:r>
    </w:p>
    <w:p w14:paraId="19B7D359" w14:textId="78D826F6" w:rsidR="00A03C81" w:rsidRPr="00AC1A16" w:rsidRDefault="0058341D" w:rsidP="00F02EC0">
      <w:pPr>
        <w:pStyle w:val="TAMainText"/>
      </w:pPr>
      <w:r w:rsidRPr="00AC1A16">
        <w:t xml:space="preserve">Likewise, the values of these parameters for the </w:t>
      </w:r>
      <w:r w:rsidR="00D55ABA">
        <w:t>different</w:t>
      </w:r>
      <w:r w:rsidR="00D55ABA" w:rsidRPr="00AC1A16">
        <w:t xml:space="preserve"> </w:t>
      </w:r>
      <w:r w:rsidRPr="00AC1A16">
        <w:t xml:space="preserve">coating formulations were not </w:t>
      </w:r>
      <w:r w:rsidR="0094400E" w:rsidRPr="00AC1A16">
        <w:t>statistically</w:t>
      </w:r>
      <w:r w:rsidRPr="00AC1A16">
        <w:t xml:space="preserve"> different either. Thereby, it was corroborated that the effect displayed by both</w:t>
      </w:r>
      <w:r w:rsidR="00D55ABA">
        <w:t xml:space="preserve"> biobased</w:t>
      </w:r>
      <w:r w:rsidRPr="00AC1A16">
        <w:t xml:space="preserve"> coating formulation</w:t>
      </w:r>
      <w:r w:rsidR="0094400E" w:rsidRPr="00AC1A16">
        <w:t>s</w:t>
      </w:r>
      <w:r w:rsidR="00D55ABA">
        <w:t xml:space="preserve"> and commercial ones</w:t>
      </w:r>
      <w:r w:rsidRPr="00AC1A16">
        <w:t xml:space="preserve"> over the wood properties, was analogous.</w:t>
      </w:r>
    </w:p>
    <w:p w14:paraId="3EBAA124" w14:textId="4FD6973C" w:rsidR="00A90DB1" w:rsidRPr="00AC1A16" w:rsidRDefault="0058341D" w:rsidP="00F02EC0">
      <w:pPr>
        <w:pStyle w:val="TAMainText"/>
      </w:pPr>
      <w:r w:rsidRPr="00AC1A16">
        <w:t xml:space="preserve">Nevertheless, the results for the diffusivity between wood species did show </w:t>
      </w:r>
      <w:r w:rsidR="0094400E" w:rsidRPr="00AC1A16">
        <w:t>statistical</w:t>
      </w:r>
      <w:r w:rsidRPr="00AC1A16">
        <w:t xml:space="preserve"> differences as proved by the ANOVA test. </w:t>
      </w:r>
      <w:r w:rsidR="00282DAF" w:rsidRPr="00AC1A16">
        <w:t>This was observed in the case of both the control and the coated wood samples. This proved that the features and properties inherent to the nature and anatomy of the wood species have meaningful influence over th</w:t>
      </w:r>
      <w:r w:rsidR="00D55ABA">
        <w:t>is</w:t>
      </w:r>
      <w:r w:rsidR="00282DAF" w:rsidRPr="00AC1A16">
        <w:t xml:space="preserve"> thermal parameter of wood.</w:t>
      </w:r>
    </w:p>
    <w:p w14:paraId="20F7C0F3" w14:textId="77777777" w:rsidR="00282DAF" w:rsidRPr="00AC1A16" w:rsidRDefault="00282DAF" w:rsidP="00282DAF">
      <w:pPr>
        <w:spacing w:after="120" w:line="276" w:lineRule="auto"/>
        <w:rPr>
          <w:rFonts w:ascii="Arial" w:hAnsi="Arial" w:cs="Arial"/>
        </w:rPr>
      </w:pPr>
    </w:p>
    <w:p w14:paraId="18C4AFEE" w14:textId="77777777" w:rsidR="00A90DB1" w:rsidRPr="00AC1A16" w:rsidRDefault="00A90DB1" w:rsidP="00112E14">
      <w:pPr>
        <w:rPr>
          <w:rFonts w:ascii="Arial" w:hAnsi="Arial" w:cs="Arial"/>
        </w:rPr>
        <w:sectPr w:rsidR="00A90DB1" w:rsidRPr="00AC1A16" w:rsidSect="00603A01">
          <w:pgSz w:w="11906" w:h="16838"/>
          <w:pgMar w:top="1417" w:right="1701" w:bottom="1417" w:left="1701" w:header="708" w:footer="708" w:gutter="0"/>
          <w:lnNumType w:countBy="1" w:restart="continuous"/>
          <w:cols w:space="708"/>
          <w:docGrid w:linePitch="360"/>
        </w:sectPr>
      </w:pPr>
    </w:p>
    <w:p w14:paraId="4C9E0CBC" w14:textId="514D4271" w:rsidR="00A90DB1" w:rsidRPr="00AC1A16" w:rsidRDefault="00A90DB1" w:rsidP="00F02EC0">
      <w:pPr>
        <w:pStyle w:val="TAMainText"/>
      </w:pPr>
      <w:r w:rsidRPr="00AC1A16">
        <w:lastRenderedPageBreak/>
        <w:t>CONCLUSIONS</w:t>
      </w:r>
    </w:p>
    <w:p w14:paraId="5BD35EBF" w14:textId="2C33C1C4" w:rsidR="00A90DB1" w:rsidRPr="00AC1A16" w:rsidRDefault="00F749A3" w:rsidP="00516550">
      <w:pPr>
        <w:pStyle w:val="TAMainText"/>
      </w:pPr>
      <w:r w:rsidRPr="00AC1A16">
        <w:t>In the present work, the synthesis of several</w:t>
      </w:r>
      <w:r w:rsidR="007E66BF">
        <w:t xml:space="preserve"> coating</w:t>
      </w:r>
      <w:r w:rsidRPr="00AC1A16">
        <w:t xml:space="preserve"> formulations </w:t>
      </w:r>
      <w:r w:rsidR="007E66BF">
        <w:t xml:space="preserve">by means </w:t>
      </w:r>
      <w:r w:rsidRPr="00AC1A16">
        <w:t xml:space="preserve">of </w:t>
      </w:r>
      <w:r w:rsidR="004E7069" w:rsidRPr="00AC1A16">
        <w:t>biobased</w:t>
      </w:r>
      <w:r w:rsidRPr="00AC1A16">
        <w:t xml:space="preserve"> phenolic resins was accomplished for the protection of wood against fire hazards. On the one side, it was seen that the resins displayed low values of the non-volatile content and viscosity, which would facilitate their application onto the wood surface.On the other side, the </w:t>
      </w:r>
      <w:r w:rsidR="006A6D48" w:rsidRPr="00AC1A16">
        <w:t>assessment of the</w:t>
      </w:r>
      <w:r w:rsidRPr="00AC1A16">
        <w:t xml:space="preserve"> coating </w:t>
      </w:r>
      <w:r w:rsidR="006A6D48" w:rsidRPr="00AC1A16">
        <w:t>structure</w:t>
      </w:r>
      <w:r w:rsidRPr="00AC1A16">
        <w:t xml:space="preserve"> highlighted the appearance of new bands associated to the reaction of the different components of the resins.</w:t>
      </w:r>
      <w:r w:rsidR="006A6D48" w:rsidRPr="00AC1A16">
        <w:t xml:space="preserve"> Besides, the formulation of the coatings with inorganic nanoparticles displayed an enhanced thermal performance as shown by the TGA analysis. Concerning the protective effect of the</w:t>
      </w:r>
      <w:r w:rsidR="007E66BF">
        <w:t xml:space="preserve"> biobased</w:t>
      </w:r>
      <w:r w:rsidR="006A6D48" w:rsidRPr="00AC1A16">
        <w:t xml:space="preserve"> coating towards wood, it was observed that a reduction of the heat release during combustion was achieved. </w:t>
      </w:r>
      <w:r w:rsidR="007E66BF">
        <w:t>T</w:t>
      </w:r>
      <w:r w:rsidR="006A6D48" w:rsidRPr="00AC1A16">
        <w:t>he</w:t>
      </w:r>
      <w:r w:rsidR="007E66BF">
        <w:t xml:space="preserve"> biobased</w:t>
      </w:r>
      <w:r w:rsidR="006A6D48" w:rsidRPr="00AC1A16">
        <w:t xml:space="preserve"> coatings</w:t>
      </w:r>
      <w:r w:rsidR="007E66BF">
        <w:t xml:space="preserve"> also</w:t>
      </w:r>
      <w:r w:rsidR="006A6D48" w:rsidRPr="00AC1A16">
        <w:t xml:space="preserve"> provided a protective effect </w:t>
      </w:r>
      <w:r w:rsidR="007E66BF">
        <w:t>respecting the</w:t>
      </w:r>
      <w:r w:rsidR="006A6D48" w:rsidRPr="00AC1A16">
        <w:t xml:space="preserve"> integrity of the wood bulk (higher residue remaining after combustion)</w:t>
      </w:r>
      <w:r w:rsidR="007E66BF">
        <w:t>. Moreover</w:t>
      </w:r>
      <w:r w:rsidR="00516550">
        <w:t>,</w:t>
      </w:r>
      <w:r w:rsidR="007E66BF">
        <w:t xml:space="preserve"> </w:t>
      </w:r>
      <w:r w:rsidR="006A6D48" w:rsidRPr="00AC1A16">
        <w:t>they reduced</w:t>
      </w:r>
      <w:r w:rsidR="007E66BF">
        <w:t xml:space="preserve"> significantly</w:t>
      </w:r>
      <w:r w:rsidR="006A6D48" w:rsidRPr="00AC1A16">
        <w:t xml:space="preserve"> the flame propagation through the wood samples. The previous behaviors </w:t>
      </w:r>
      <w:r w:rsidR="007E66BF">
        <w:t>results</w:t>
      </w:r>
      <w:r w:rsidR="007E66BF" w:rsidRPr="00AC1A16">
        <w:t xml:space="preserve"> </w:t>
      </w:r>
      <w:r w:rsidR="006A6D48" w:rsidRPr="00AC1A16">
        <w:t xml:space="preserve">were improved more significantly in the </w:t>
      </w:r>
      <w:r w:rsidR="001D5A0C" w:rsidRPr="00AC1A16">
        <w:t xml:space="preserve">beech </w:t>
      </w:r>
      <w:r w:rsidR="006A6D48" w:rsidRPr="00AC1A16">
        <w:t xml:space="preserve">wood samples compared to the </w:t>
      </w:r>
      <w:r w:rsidR="001D5A0C" w:rsidRPr="00AC1A16">
        <w:t>m</w:t>
      </w:r>
      <w:r w:rsidR="008616D1" w:rsidRPr="00AC1A16">
        <w:t>aritime pine</w:t>
      </w:r>
      <w:r w:rsidR="006A6D48" w:rsidRPr="00AC1A16">
        <w:t xml:space="preserve"> ones.</w:t>
      </w:r>
      <w:r w:rsidR="007E66BF">
        <w:t xml:space="preserve"> Furthermore, the biobased coatings with the inorganic nanoparticles </w:t>
      </w:r>
      <w:r w:rsidR="00281990">
        <w:t>(</w:t>
      </w:r>
      <w:r w:rsidR="00281990">
        <w:t>R</w:t>
      </w:r>
      <w:r w:rsidR="00281990">
        <w:rPr>
          <w:vertAlign w:val="subscript"/>
        </w:rPr>
        <w:t>A</w:t>
      </w:r>
      <w:r w:rsidR="00281990">
        <w:t xml:space="preserve"> and R</w:t>
      </w:r>
      <w:r w:rsidR="00281990">
        <w:rPr>
          <w:vertAlign w:val="subscript"/>
        </w:rPr>
        <w:t>B</w:t>
      </w:r>
      <w:r w:rsidR="00281990">
        <w:t>)</w:t>
      </w:r>
      <w:r w:rsidR="006A6D48" w:rsidRPr="00AC1A16">
        <w:t xml:space="preserve"> </w:t>
      </w:r>
      <w:r w:rsidR="007E66BF">
        <w:t xml:space="preserve">displayed a better performance compared to the Reference formulation. </w:t>
      </w:r>
      <w:r w:rsidR="00281990">
        <w:t>I</w:t>
      </w:r>
      <w:r w:rsidR="006A6D48" w:rsidRPr="00AC1A16">
        <w:t xml:space="preserve">t was </w:t>
      </w:r>
      <w:r w:rsidR="00281990">
        <w:t xml:space="preserve">also </w:t>
      </w:r>
      <w:r w:rsidR="006A6D48" w:rsidRPr="00AC1A16">
        <w:t>seen that the application of the coatings over the wood surface did not substantially modify thermal parameters of wood</w:t>
      </w:r>
      <w:r w:rsidR="009E14D3" w:rsidRPr="00AC1A16">
        <w:t>,</w:t>
      </w:r>
      <w:r w:rsidR="006A6D48" w:rsidRPr="00AC1A16">
        <w:t xml:space="preserve"> such as the conductivity and diffusivity. </w:t>
      </w:r>
      <w:r w:rsidR="00281990">
        <w:t>The other important remark of this work was that the results achieved by the biobased coatings, respecting the protection of wood against fire, were comparable to those of two top rank fireproofing commercial coating formulations (B77 and Quidedur). This is of considerable relevance, since it opens the way to the fabrication of a protective fireproofing product for wood, which is based on renewable compounds and more environmentally friendly.</w:t>
      </w:r>
    </w:p>
    <w:p w14:paraId="56E6AB83" w14:textId="77777777" w:rsidR="00A90DB1" w:rsidRPr="00AC1A16" w:rsidRDefault="00A90DB1" w:rsidP="00112E14">
      <w:pPr>
        <w:rPr>
          <w:rFonts w:ascii="Arial" w:hAnsi="Arial" w:cs="Arial"/>
        </w:rPr>
      </w:pPr>
    </w:p>
    <w:p w14:paraId="6A4EB088" w14:textId="77777777" w:rsidR="00A90DB1" w:rsidRPr="00AC1A16" w:rsidRDefault="00A90DB1" w:rsidP="00112E14">
      <w:pPr>
        <w:rPr>
          <w:rFonts w:ascii="Arial" w:hAnsi="Arial" w:cs="Arial"/>
        </w:rPr>
        <w:sectPr w:rsidR="00A90DB1" w:rsidRPr="00AC1A16" w:rsidSect="00603A01">
          <w:pgSz w:w="11906" w:h="16838"/>
          <w:pgMar w:top="1417" w:right="1701" w:bottom="1417" w:left="1701" w:header="708" w:footer="708" w:gutter="0"/>
          <w:lnNumType w:countBy="1" w:restart="continuous"/>
          <w:cols w:space="708"/>
          <w:docGrid w:linePitch="360"/>
        </w:sectPr>
      </w:pPr>
    </w:p>
    <w:p w14:paraId="67D7397B" w14:textId="28BBD55D" w:rsidR="00A90DB1" w:rsidRPr="00AC1A16" w:rsidRDefault="00A90DB1" w:rsidP="00F02EC0">
      <w:pPr>
        <w:pStyle w:val="TFReferencesSection"/>
      </w:pPr>
      <w:r w:rsidRPr="00AC1A16">
        <w:lastRenderedPageBreak/>
        <w:t>REFERENCES</w:t>
      </w:r>
    </w:p>
    <w:p w14:paraId="477D53AD" w14:textId="0FF12A2D" w:rsidR="00FF6389" w:rsidRPr="00FF6389" w:rsidRDefault="004551F7" w:rsidP="00FF6389">
      <w:pPr>
        <w:widowControl w:val="0"/>
        <w:autoSpaceDE w:val="0"/>
        <w:autoSpaceDN w:val="0"/>
        <w:adjustRightInd w:val="0"/>
        <w:spacing w:line="480" w:lineRule="auto"/>
        <w:ind w:left="640" w:hanging="640"/>
        <w:rPr>
          <w:rFonts w:cs="Times"/>
          <w:noProof/>
          <w:szCs w:val="24"/>
        </w:rPr>
      </w:pPr>
      <w:r w:rsidRPr="00AC1A16">
        <w:fldChar w:fldCharType="begin" w:fldLock="1"/>
      </w:r>
      <w:r w:rsidRPr="00AC1A16">
        <w:instrText xml:space="preserve">ADDIN Mendeley Bibliography CSL_BIBLIOGRAPHY </w:instrText>
      </w:r>
      <w:r w:rsidRPr="00AC1A16">
        <w:fldChar w:fldCharType="separate"/>
      </w:r>
      <w:r w:rsidR="00FF6389" w:rsidRPr="00FF6389">
        <w:rPr>
          <w:rFonts w:cs="Times"/>
          <w:noProof/>
          <w:szCs w:val="24"/>
        </w:rPr>
        <w:t xml:space="preserve">(1) </w:t>
      </w:r>
      <w:r w:rsidR="00FF6389" w:rsidRPr="00FF6389">
        <w:rPr>
          <w:rFonts w:cs="Times"/>
          <w:noProof/>
          <w:szCs w:val="24"/>
        </w:rPr>
        <w:tab/>
        <w:t xml:space="preserve">de la Roche, I.; Dangerfield, J. A.; Karacabeyli, E. Wood Products And Sustainable Construction. </w:t>
      </w:r>
      <w:r w:rsidR="00FF6389" w:rsidRPr="00FF6389">
        <w:rPr>
          <w:rFonts w:cs="Times"/>
          <w:i/>
          <w:iCs/>
          <w:noProof/>
          <w:szCs w:val="24"/>
        </w:rPr>
        <w:t>New Zel.  Timber Des. J.</w:t>
      </w:r>
      <w:r w:rsidR="00FF6389" w:rsidRPr="00FF6389">
        <w:rPr>
          <w:rFonts w:cs="Times"/>
          <w:noProof/>
          <w:szCs w:val="24"/>
        </w:rPr>
        <w:t xml:space="preserve"> </w:t>
      </w:r>
      <w:r w:rsidR="00FF6389" w:rsidRPr="00FF6389">
        <w:rPr>
          <w:rFonts w:cs="Times"/>
          <w:b/>
          <w:bCs/>
          <w:noProof/>
          <w:szCs w:val="24"/>
        </w:rPr>
        <w:t>2003</w:t>
      </w:r>
      <w:r w:rsidR="00FF6389" w:rsidRPr="00FF6389">
        <w:rPr>
          <w:rFonts w:cs="Times"/>
          <w:noProof/>
          <w:szCs w:val="24"/>
        </w:rPr>
        <w:t xml:space="preserve">, </w:t>
      </w:r>
      <w:r w:rsidR="00FF6389" w:rsidRPr="00FF6389">
        <w:rPr>
          <w:rFonts w:cs="Times"/>
          <w:i/>
          <w:iCs/>
          <w:noProof/>
          <w:szCs w:val="24"/>
        </w:rPr>
        <w:t>12</w:t>
      </w:r>
      <w:r w:rsidR="00FF6389" w:rsidRPr="00FF6389">
        <w:rPr>
          <w:rFonts w:cs="Times"/>
          <w:noProof/>
          <w:szCs w:val="24"/>
        </w:rPr>
        <w:t xml:space="preserve"> (1), 9–13.</w:t>
      </w:r>
    </w:p>
    <w:p w14:paraId="2DFFFF99"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(2) </w:t>
      </w:r>
      <w:r w:rsidRPr="00FF6389">
        <w:rPr>
          <w:rFonts w:cs="Times"/>
          <w:noProof/>
          <w:szCs w:val="24"/>
        </w:rPr>
        <w:tab/>
        <w:t xml:space="preserve">Woodard, A. C.; Milner, H. R. Sustainability of Timber and Wood in Construction. In </w:t>
      </w:r>
      <w:r w:rsidRPr="00FF6389">
        <w:rPr>
          <w:rFonts w:cs="Times"/>
          <w:i/>
          <w:iCs/>
          <w:noProof/>
          <w:szCs w:val="24"/>
        </w:rPr>
        <w:t>Sustainability of Construction Materials</w:t>
      </w:r>
      <w:r w:rsidRPr="00FF6389">
        <w:rPr>
          <w:rFonts w:cs="Times"/>
          <w:noProof/>
          <w:szCs w:val="24"/>
        </w:rPr>
        <w:t>; Woodhead Publishing, 2016; pp 129–157.</w:t>
      </w:r>
    </w:p>
    <w:p w14:paraId="50FD4BB3"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(3) </w:t>
      </w:r>
      <w:r w:rsidRPr="00FF6389">
        <w:rPr>
          <w:rFonts w:cs="Times"/>
          <w:noProof/>
          <w:szCs w:val="24"/>
        </w:rPr>
        <w:tab/>
        <w:t xml:space="preserve">Popescu, C.; Pfriem, A. Treatments and Modification to Improve the Reaction to Fire of Wood and Wood Based products—An Overview. </w:t>
      </w:r>
      <w:r w:rsidRPr="00FF6389">
        <w:rPr>
          <w:rFonts w:cs="Times"/>
          <w:i/>
          <w:iCs/>
          <w:noProof/>
          <w:szCs w:val="24"/>
        </w:rPr>
        <w:t>Fire Mater.</w:t>
      </w:r>
      <w:r w:rsidRPr="00FF6389">
        <w:rPr>
          <w:rFonts w:cs="Times"/>
          <w:noProof/>
          <w:szCs w:val="24"/>
        </w:rPr>
        <w:t xml:space="preserve"> </w:t>
      </w:r>
      <w:r w:rsidRPr="00FF6389">
        <w:rPr>
          <w:rFonts w:cs="Times"/>
          <w:b/>
          <w:bCs/>
          <w:noProof/>
          <w:szCs w:val="24"/>
        </w:rPr>
        <w:t>2020</w:t>
      </w:r>
      <w:r w:rsidRPr="00FF6389">
        <w:rPr>
          <w:rFonts w:cs="Times"/>
          <w:noProof/>
          <w:szCs w:val="24"/>
        </w:rPr>
        <w:t xml:space="preserve">, </w:t>
      </w:r>
      <w:r w:rsidRPr="00FF6389">
        <w:rPr>
          <w:rFonts w:cs="Times"/>
          <w:i/>
          <w:iCs/>
          <w:noProof/>
          <w:szCs w:val="24"/>
        </w:rPr>
        <w:t>44</w:t>
      </w:r>
      <w:r w:rsidRPr="00FF6389">
        <w:rPr>
          <w:rFonts w:cs="Times"/>
          <w:noProof/>
          <w:szCs w:val="24"/>
        </w:rPr>
        <w:t xml:space="preserve"> (1), 100–111.</w:t>
      </w:r>
    </w:p>
    <w:p w14:paraId="204DF7EF"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(4) </w:t>
      </w:r>
      <w:r w:rsidRPr="00FF6389">
        <w:rPr>
          <w:rFonts w:cs="Times"/>
          <w:noProof/>
          <w:szCs w:val="24"/>
        </w:rPr>
        <w:tab/>
        <w:t xml:space="preserve">Shaw, S. Halogenated Flame Retardants: Do the Fire Safety Benefits Justify the Risks? </w:t>
      </w:r>
      <w:r w:rsidRPr="00FF6389">
        <w:rPr>
          <w:rFonts w:cs="Times"/>
          <w:i/>
          <w:iCs/>
          <w:noProof/>
          <w:szCs w:val="24"/>
        </w:rPr>
        <w:t>Rev. Environ. Health</w:t>
      </w:r>
      <w:r w:rsidRPr="00FF6389">
        <w:rPr>
          <w:rFonts w:cs="Times"/>
          <w:noProof/>
          <w:szCs w:val="24"/>
        </w:rPr>
        <w:t xml:space="preserve"> </w:t>
      </w:r>
      <w:r w:rsidRPr="00FF6389">
        <w:rPr>
          <w:rFonts w:cs="Times"/>
          <w:b/>
          <w:bCs/>
          <w:noProof/>
          <w:szCs w:val="24"/>
        </w:rPr>
        <w:t>2010</w:t>
      </w:r>
      <w:r w:rsidRPr="00FF6389">
        <w:rPr>
          <w:rFonts w:cs="Times"/>
          <w:noProof/>
          <w:szCs w:val="24"/>
        </w:rPr>
        <w:t xml:space="preserve">, </w:t>
      </w:r>
      <w:r w:rsidRPr="00FF6389">
        <w:rPr>
          <w:rFonts w:cs="Times"/>
          <w:i/>
          <w:iCs/>
          <w:noProof/>
          <w:szCs w:val="24"/>
        </w:rPr>
        <w:t>25</w:t>
      </w:r>
      <w:r w:rsidRPr="00FF6389">
        <w:rPr>
          <w:rFonts w:cs="Times"/>
          <w:noProof/>
          <w:szCs w:val="24"/>
        </w:rPr>
        <w:t xml:space="preserve"> (4), 261–306.</w:t>
      </w:r>
    </w:p>
    <w:p w14:paraId="6A2D407F"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(5) </w:t>
      </w:r>
      <w:r w:rsidRPr="00FF6389">
        <w:rPr>
          <w:rFonts w:cs="Times"/>
          <w:noProof/>
          <w:szCs w:val="24"/>
        </w:rPr>
        <w:tab/>
        <w:t xml:space="preserve">Shen, K. K. Review of Recent Advances on the Use of Boron-Based Flame Retardants. In </w:t>
      </w:r>
      <w:r w:rsidRPr="00FF6389">
        <w:rPr>
          <w:rFonts w:cs="Times"/>
          <w:i/>
          <w:iCs/>
          <w:noProof/>
          <w:szCs w:val="24"/>
        </w:rPr>
        <w:t>Polymer Green Flame Retardants</w:t>
      </w:r>
      <w:r w:rsidRPr="00FF6389">
        <w:rPr>
          <w:rFonts w:cs="Times"/>
          <w:noProof/>
          <w:szCs w:val="24"/>
        </w:rPr>
        <w:t>; Elsevier Inc., 2014; pp 367–388.</w:t>
      </w:r>
    </w:p>
    <w:p w14:paraId="65103C93"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(6) </w:t>
      </w:r>
      <w:r w:rsidRPr="00FF6389">
        <w:rPr>
          <w:rFonts w:cs="Times"/>
          <w:noProof/>
          <w:szCs w:val="24"/>
        </w:rPr>
        <w:tab/>
        <w:t xml:space="preserve">Laoutid, F.; Bonnaud, L.; Alexandre, M.; Lopez-Cuesta, J.-M.; Dubois, P. New Prospects in Flame Retardant Polymer Materials: From Fundamentals to Nanocomposites. </w:t>
      </w:r>
      <w:r w:rsidRPr="00FF6389">
        <w:rPr>
          <w:rFonts w:cs="Times"/>
          <w:i/>
          <w:iCs/>
          <w:noProof/>
          <w:szCs w:val="24"/>
        </w:rPr>
        <w:t>Mater. Sci. Eng. R Reports</w:t>
      </w:r>
      <w:r w:rsidRPr="00FF6389">
        <w:rPr>
          <w:rFonts w:cs="Times"/>
          <w:noProof/>
          <w:szCs w:val="24"/>
        </w:rPr>
        <w:t xml:space="preserve"> </w:t>
      </w:r>
      <w:r w:rsidRPr="00FF6389">
        <w:rPr>
          <w:rFonts w:cs="Times"/>
          <w:b/>
          <w:bCs/>
          <w:noProof/>
          <w:szCs w:val="24"/>
        </w:rPr>
        <w:t>2009</w:t>
      </w:r>
      <w:r w:rsidRPr="00FF6389">
        <w:rPr>
          <w:rFonts w:cs="Times"/>
          <w:noProof/>
          <w:szCs w:val="24"/>
        </w:rPr>
        <w:t xml:space="preserve">, </w:t>
      </w:r>
      <w:r w:rsidRPr="00FF6389">
        <w:rPr>
          <w:rFonts w:cs="Times"/>
          <w:i/>
          <w:iCs/>
          <w:noProof/>
          <w:szCs w:val="24"/>
        </w:rPr>
        <w:t>63</w:t>
      </w:r>
      <w:r w:rsidRPr="00FF6389">
        <w:rPr>
          <w:rFonts w:cs="Times"/>
          <w:noProof/>
          <w:szCs w:val="24"/>
        </w:rPr>
        <w:t xml:space="preserve"> (3), 100–125.</w:t>
      </w:r>
    </w:p>
    <w:p w14:paraId="3AF0B795"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(7) </w:t>
      </w:r>
      <w:r w:rsidRPr="00FF6389">
        <w:rPr>
          <w:rFonts w:cs="Times"/>
          <w:noProof/>
          <w:szCs w:val="24"/>
        </w:rPr>
        <w:tab/>
        <w:t xml:space="preserve">Song, R.; Wang, Z.; Meng, X.; Zhang, B.; Tang, T. Influences of Catalysis and Dispersion of Organically Modified Montmorillonite on Flame Retardancy of Polypropylene Nanocomposites. </w:t>
      </w:r>
      <w:r w:rsidRPr="00FF6389">
        <w:rPr>
          <w:rFonts w:cs="Times"/>
          <w:i/>
          <w:iCs/>
          <w:noProof/>
          <w:szCs w:val="24"/>
        </w:rPr>
        <w:t>J. Appl. Polym. Sci.</w:t>
      </w:r>
      <w:r w:rsidRPr="00FF6389">
        <w:rPr>
          <w:rFonts w:cs="Times"/>
          <w:noProof/>
          <w:szCs w:val="24"/>
        </w:rPr>
        <w:t xml:space="preserve"> </w:t>
      </w:r>
      <w:r w:rsidRPr="00FF6389">
        <w:rPr>
          <w:rFonts w:cs="Times"/>
          <w:b/>
          <w:bCs/>
          <w:noProof/>
          <w:szCs w:val="24"/>
        </w:rPr>
        <w:t>2007</w:t>
      </w:r>
      <w:r w:rsidRPr="00FF6389">
        <w:rPr>
          <w:rFonts w:cs="Times"/>
          <w:noProof/>
          <w:szCs w:val="24"/>
        </w:rPr>
        <w:t xml:space="preserve">, </w:t>
      </w:r>
      <w:r w:rsidRPr="00FF6389">
        <w:rPr>
          <w:rFonts w:cs="Times"/>
          <w:i/>
          <w:iCs/>
          <w:noProof/>
          <w:szCs w:val="24"/>
        </w:rPr>
        <w:t>106</w:t>
      </w:r>
      <w:r w:rsidRPr="00FF6389">
        <w:rPr>
          <w:rFonts w:cs="Times"/>
          <w:noProof/>
          <w:szCs w:val="24"/>
        </w:rPr>
        <w:t xml:space="preserve"> (5), 3488–3494.</w:t>
      </w:r>
    </w:p>
    <w:p w14:paraId="3FBFA359"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(8) </w:t>
      </w:r>
      <w:r w:rsidRPr="00FF6389">
        <w:rPr>
          <w:rFonts w:cs="Times"/>
          <w:noProof/>
          <w:szCs w:val="24"/>
        </w:rPr>
        <w:tab/>
        <w:t xml:space="preserve">Kashiwagi, T.; Gilman, J. Silicon Based Flame Retardants. In </w:t>
      </w:r>
      <w:r w:rsidRPr="00FF6389">
        <w:rPr>
          <w:rFonts w:cs="Times"/>
          <w:i/>
          <w:iCs/>
          <w:noProof/>
          <w:szCs w:val="24"/>
        </w:rPr>
        <w:t xml:space="preserve"> Fire retardancy of polymeric materials</w:t>
      </w:r>
      <w:r w:rsidRPr="00FF6389">
        <w:rPr>
          <w:rFonts w:cs="Times"/>
          <w:noProof/>
          <w:szCs w:val="24"/>
        </w:rPr>
        <w:t>; Marcel Dekker Inc.: New York, 2000; pp 353–389.</w:t>
      </w:r>
    </w:p>
    <w:p w14:paraId="35EA6D77"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(9) </w:t>
      </w:r>
      <w:r w:rsidRPr="00FF6389">
        <w:rPr>
          <w:rFonts w:cs="Times"/>
          <w:noProof/>
          <w:szCs w:val="24"/>
        </w:rPr>
        <w:tab/>
        <w:t xml:space="preserve">Ayandele, E.; Sarkar, B.; Alexandridis, P. Polyhedral Oligomeric Silsesquioxane </w:t>
      </w:r>
      <w:r w:rsidRPr="00FF6389">
        <w:rPr>
          <w:rFonts w:cs="Times"/>
          <w:noProof/>
          <w:szCs w:val="24"/>
        </w:rPr>
        <w:lastRenderedPageBreak/>
        <w:t xml:space="preserve">(POSS)-Containing Polymer Nanocomposites. </w:t>
      </w:r>
      <w:r w:rsidRPr="00FF6389">
        <w:rPr>
          <w:rFonts w:cs="Times"/>
          <w:i/>
          <w:iCs/>
          <w:noProof/>
          <w:szCs w:val="24"/>
        </w:rPr>
        <w:t>Nanomaterials</w:t>
      </w:r>
      <w:r w:rsidRPr="00FF6389">
        <w:rPr>
          <w:rFonts w:cs="Times"/>
          <w:noProof/>
          <w:szCs w:val="24"/>
        </w:rPr>
        <w:t xml:space="preserve"> </w:t>
      </w:r>
      <w:r w:rsidRPr="00FF6389">
        <w:rPr>
          <w:rFonts w:cs="Times"/>
          <w:b/>
          <w:bCs/>
          <w:noProof/>
          <w:szCs w:val="24"/>
        </w:rPr>
        <w:t>2012</w:t>
      </w:r>
      <w:r w:rsidRPr="00FF6389">
        <w:rPr>
          <w:rFonts w:cs="Times"/>
          <w:noProof/>
          <w:szCs w:val="24"/>
        </w:rPr>
        <w:t xml:space="preserve">, </w:t>
      </w:r>
      <w:r w:rsidRPr="00FF6389">
        <w:rPr>
          <w:rFonts w:cs="Times"/>
          <w:i/>
          <w:iCs/>
          <w:noProof/>
          <w:szCs w:val="24"/>
        </w:rPr>
        <w:t>2</w:t>
      </w:r>
      <w:r w:rsidRPr="00FF6389">
        <w:rPr>
          <w:rFonts w:cs="Times"/>
          <w:noProof/>
          <w:szCs w:val="24"/>
        </w:rPr>
        <w:t xml:space="preserve"> (4), 445–475.</w:t>
      </w:r>
    </w:p>
    <w:p w14:paraId="7D7649CA"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(10) </w:t>
      </w:r>
      <w:r w:rsidRPr="00FF6389">
        <w:rPr>
          <w:rFonts w:cs="Times"/>
          <w:noProof/>
          <w:szCs w:val="24"/>
        </w:rPr>
        <w:tab/>
        <w:t xml:space="preserve">Kuo, S.-W.; Chang, F.-C. POSS Related Polymer Nanocomposites. </w:t>
      </w:r>
      <w:r w:rsidRPr="00FF6389">
        <w:rPr>
          <w:rFonts w:cs="Times"/>
          <w:i/>
          <w:iCs/>
          <w:noProof/>
          <w:szCs w:val="24"/>
        </w:rPr>
        <w:t>Prog. Polym. Sci.</w:t>
      </w:r>
      <w:r w:rsidRPr="00FF6389">
        <w:rPr>
          <w:rFonts w:cs="Times"/>
          <w:noProof/>
          <w:szCs w:val="24"/>
        </w:rPr>
        <w:t xml:space="preserve"> </w:t>
      </w:r>
      <w:r w:rsidRPr="00FF6389">
        <w:rPr>
          <w:rFonts w:cs="Times"/>
          <w:b/>
          <w:bCs/>
          <w:noProof/>
          <w:szCs w:val="24"/>
        </w:rPr>
        <w:t>2011</w:t>
      </w:r>
      <w:r w:rsidRPr="00FF6389">
        <w:rPr>
          <w:rFonts w:cs="Times"/>
          <w:noProof/>
          <w:szCs w:val="24"/>
        </w:rPr>
        <w:t xml:space="preserve">, </w:t>
      </w:r>
      <w:r w:rsidRPr="00FF6389">
        <w:rPr>
          <w:rFonts w:cs="Times"/>
          <w:i/>
          <w:iCs/>
          <w:noProof/>
          <w:szCs w:val="24"/>
        </w:rPr>
        <w:t>36</w:t>
      </w:r>
      <w:r w:rsidRPr="00FF6389">
        <w:rPr>
          <w:rFonts w:cs="Times"/>
          <w:noProof/>
          <w:szCs w:val="24"/>
        </w:rPr>
        <w:t xml:space="preserve"> (12), 1649–1696.</w:t>
      </w:r>
    </w:p>
    <w:p w14:paraId="3DF9C93D"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(11) </w:t>
      </w:r>
      <w:r w:rsidRPr="00FF6389">
        <w:rPr>
          <w:rFonts w:cs="Times"/>
          <w:noProof/>
          <w:szCs w:val="24"/>
        </w:rPr>
        <w:tab/>
        <w:t xml:space="preserve">Tang, S.; Wachtendorf, V.; Klack, P.; Qian, L.; Dong, Y.; Schartel, B. Enhanced Flame-Retardant Effect of a Montmorillonite/phosphaphenanthrene Compound in an Epoxy Thermoset. </w:t>
      </w:r>
      <w:r w:rsidRPr="00FF6389">
        <w:rPr>
          <w:rFonts w:cs="Times"/>
          <w:i/>
          <w:iCs/>
          <w:noProof/>
          <w:szCs w:val="24"/>
        </w:rPr>
        <w:t>RSC Adv.</w:t>
      </w:r>
      <w:r w:rsidRPr="00FF6389">
        <w:rPr>
          <w:rFonts w:cs="Times"/>
          <w:noProof/>
          <w:szCs w:val="24"/>
        </w:rPr>
        <w:t xml:space="preserve"> </w:t>
      </w:r>
      <w:r w:rsidRPr="00FF6389">
        <w:rPr>
          <w:rFonts w:cs="Times"/>
          <w:b/>
          <w:bCs/>
          <w:noProof/>
          <w:szCs w:val="24"/>
        </w:rPr>
        <w:t>2017</w:t>
      </w:r>
      <w:r w:rsidRPr="00FF6389">
        <w:rPr>
          <w:rFonts w:cs="Times"/>
          <w:noProof/>
          <w:szCs w:val="24"/>
        </w:rPr>
        <w:t xml:space="preserve">, </w:t>
      </w:r>
      <w:r w:rsidRPr="00FF6389">
        <w:rPr>
          <w:rFonts w:cs="Times"/>
          <w:i/>
          <w:iCs/>
          <w:noProof/>
          <w:szCs w:val="24"/>
        </w:rPr>
        <w:t>7</w:t>
      </w:r>
      <w:r w:rsidRPr="00FF6389">
        <w:rPr>
          <w:rFonts w:cs="Times"/>
          <w:noProof/>
          <w:szCs w:val="24"/>
        </w:rPr>
        <w:t xml:space="preserve"> (2), 720–728.</w:t>
      </w:r>
    </w:p>
    <w:p w14:paraId="32A9F091"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(12) </w:t>
      </w:r>
      <w:r w:rsidRPr="00FF6389">
        <w:rPr>
          <w:rFonts w:cs="Times"/>
          <w:noProof/>
          <w:szCs w:val="24"/>
        </w:rPr>
        <w:tab/>
        <w:t xml:space="preserve">El-Sheikhy, R.; Al-Shamrani, M. On the Processing and Properties of Clay/Polymer Nanocomposites CPNC. </w:t>
      </w:r>
      <w:r w:rsidRPr="00FF6389">
        <w:rPr>
          <w:rFonts w:cs="Times"/>
          <w:i/>
          <w:iCs/>
          <w:noProof/>
          <w:szCs w:val="24"/>
        </w:rPr>
        <w:t>Lat. Am. J. Solids Struct.</w:t>
      </w:r>
      <w:r w:rsidRPr="00FF6389">
        <w:rPr>
          <w:rFonts w:cs="Times"/>
          <w:noProof/>
          <w:szCs w:val="24"/>
        </w:rPr>
        <w:t xml:space="preserve"> </w:t>
      </w:r>
      <w:r w:rsidRPr="00FF6389">
        <w:rPr>
          <w:rFonts w:cs="Times"/>
          <w:b/>
          <w:bCs/>
          <w:noProof/>
          <w:szCs w:val="24"/>
        </w:rPr>
        <w:t>2015</w:t>
      </w:r>
      <w:r w:rsidRPr="00FF6389">
        <w:rPr>
          <w:rFonts w:cs="Times"/>
          <w:noProof/>
          <w:szCs w:val="24"/>
        </w:rPr>
        <w:t xml:space="preserve">, </w:t>
      </w:r>
      <w:r w:rsidRPr="00FF6389">
        <w:rPr>
          <w:rFonts w:cs="Times"/>
          <w:i/>
          <w:iCs/>
          <w:noProof/>
          <w:szCs w:val="24"/>
        </w:rPr>
        <w:t>12</w:t>
      </w:r>
      <w:r w:rsidRPr="00FF6389">
        <w:rPr>
          <w:rFonts w:cs="Times"/>
          <w:noProof/>
          <w:szCs w:val="24"/>
        </w:rPr>
        <w:t xml:space="preserve"> (2), 385–419.</w:t>
      </w:r>
    </w:p>
    <w:p w14:paraId="3C7EC87D"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(13) </w:t>
      </w:r>
      <w:r w:rsidRPr="00FF6389">
        <w:rPr>
          <w:rFonts w:cs="Times"/>
          <w:noProof/>
          <w:szCs w:val="24"/>
        </w:rPr>
        <w:tab/>
        <w:t xml:space="preserve">Nazir, M. S.; Mohamad Kassim, M. H.; Mohapatra, L.; Gilani, M. A.; Raza, M. R.; Majeed, K. Characteristic Properties of Nanoclays and Characterization of Nanoparticulates and Nanocomposites. In </w:t>
      </w:r>
      <w:r w:rsidRPr="00FF6389">
        <w:rPr>
          <w:rFonts w:cs="Times"/>
          <w:i/>
          <w:iCs/>
          <w:noProof/>
          <w:szCs w:val="24"/>
        </w:rPr>
        <w:t>Nanoclay Reinforced Polymer Composites</w:t>
      </w:r>
      <w:r w:rsidRPr="00FF6389">
        <w:rPr>
          <w:rFonts w:cs="Times"/>
          <w:noProof/>
          <w:szCs w:val="24"/>
        </w:rPr>
        <w:t>; Springer, Singapore, 2016; pp 35–55.</w:t>
      </w:r>
    </w:p>
    <w:p w14:paraId="66DE26C5"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(14) </w:t>
      </w:r>
      <w:r w:rsidRPr="00FF6389">
        <w:rPr>
          <w:rFonts w:cs="Times"/>
          <w:noProof/>
          <w:szCs w:val="24"/>
        </w:rPr>
        <w:tab/>
        <w:t xml:space="preserve">Giudice, C. A.; Pereyra, A. M. Silica Nanoparticles in High Silica/alkali Molar Ratio Solutions as Fire-Retardant Impregnants for Woods. </w:t>
      </w:r>
      <w:r w:rsidRPr="00FF6389">
        <w:rPr>
          <w:rFonts w:cs="Times"/>
          <w:i/>
          <w:iCs/>
          <w:noProof/>
          <w:szCs w:val="24"/>
        </w:rPr>
        <w:t>Fire Mater.</w:t>
      </w:r>
      <w:r w:rsidRPr="00FF6389">
        <w:rPr>
          <w:rFonts w:cs="Times"/>
          <w:noProof/>
          <w:szCs w:val="24"/>
        </w:rPr>
        <w:t xml:space="preserve"> </w:t>
      </w:r>
      <w:r w:rsidRPr="00FF6389">
        <w:rPr>
          <w:rFonts w:cs="Times"/>
          <w:b/>
          <w:bCs/>
          <w:noProof/>
          <w:szCs w:val="24"/>
        </w:rPr>
        <w:t>2009</w:t>
      </w:r>
      <w:r w:rsidRPr="00FF6389">
        <w:rPr>
          <w:rFonts w:cs="Times"/>
          <w:noProof/>
          <w:szCs w:val="24"/>
        </w:rPr>
        <w:t xml:space="preserve">, </w:t>
      </w:r>
      <w:r w:rsidRPr="00FF6389">
        <w:rPr>
          <w:rFonts w:cs="Times"/>
          <w:i/>
          <w:iCs/>
          <w:noProof/>
          <w:szCs w:val="24"/>
        </w:rPr>
        <w:t>34</w:t>
      </w:r>
      <w:r w:rsidRPr="00FF6389">
        <w:rPr>
          <w:rFonts w:cs="Times"/>
          <w:noProof/>
          <w:szCs w:val="24"/>
        </w:rPr>
        <w:t xml:space="preserve"> (4), n/a-n/a.</w:t>
      </w:r>
    </w:p>
    <w:p w14:paraId="738238B7"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(15) </w:t>
      </w:r>
      <w:r w:rsidRPr="00FF6389">
        <w:rPr>
          <w:rFonts w:cs="Times"/>
          <w:noProof/>
          <w:szCs w:val="24"/>
        </w:rPr>
        <w:tab/>
        <w:t xml:space="preserve">Fu, S.; Song, P.; Liu, X. Thermal and Flame Retardancy Properties of Thermoplastics/natural Fiber Biocomposites. In </w:t>
      </w:r>
      <w:r w:rsidRPr="00FF6389">
        <w:rPr>
          <w:rFonts w:cs="Times"/>
          <w:i/>
          <w:iCs/>
          <w:noProof/>
          <w:szCs w:val="24"/>
        </w:rPr>
        <w:t>Advanced High Strength Natural Fibre Composites in Construction</w:t>
      </w:r>
      <w:r w:rsidRPr="00FF6389">
        <w:rPr>
          <w:rFonts w:cs="Times"/>
          <w:noProof/>
          <w:szCs w:val="24"/>
        </w:rPr>
        <w:t>; Elsevier Inc., 2017; pp 479–508.</w:t>
      </w:r>
    </w:p>
    <w:p w14:paraId="65C6CCEC"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(16) </w:t>
      </w:r>
      <w:r w:rsidRPr="00FF6389">
        <w:rPr>
          <w:rFonts w:cs="Times"/>
          <w:noProof/>
          <w:szCs w:val="24"/>
        </w:rPr>
        <w:tab/>
        <w:t xml:space="preserve">Ali, S. W.; Basak, S.; Shukla, A. Nanoparticles: A Potential Alternative to Classical Fire Retardants for Textile Substrates. In </w:t>
      </w:r>
      <w:r w:rsidRPr="00FF6389">
        <w:rPr>
          <w:rFonts w:cs="Times"/>
          <w:i/>
          <w:iCs/>
          <w:noProof/>
          <w:szCs w:val="24"/>
        </w:rPr>
        <w:t xml:space="preserve">Handbook of Nanomaterials for </w:t>
      </w:r>
      <w:r w:rsidRPr="00FF6389">
        <w:rPr>
          <w:rFonts w:cs="Times"/>
          <w:i/>
          <w:iCs/>
          <w:noProof/>
          <w:szCs w:val="24"/>
        </w:rPr>
        <w:lastRenderedPageBreak/>
        <w:t>Manufacturing Applications</w:t>
      </w:r>
      <w:r w:rsidRPr="00FF6389">
        <w:rPr>
          <w:rFonts w:cs="Times"/>
          <w:noProof/>
          <w:szCs w:val="24"/>
        </w:rPr>
        <w:t>; Elsevier, 2020; pp 265–278.</w:t>
      </w:r>
    </w:p>
    <w:p w14:paraId="16B07119"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(17) </w:t>
      </w:r>
      <w:r w:rsidRPr="00FF6389">
        <w:rPr>
          <w:rFonts w:cs="Times"/>
          <w:noProof/>
          <w:szCs w:val="24"/>
        </w:rPr>
        <w:tab/>
        <w:t xml:space="preserve">Kausar, A. Flame Retardant Potential of Clay Nanoparticles. In </w:t>
      </w:r>
      <w:r w:rsidRPr="00FF6389">
        <w:rPr>
          <w:rFonts w:cs="Times"/>
          <w:i/>
          <w:iCs/>
          <w:noProof/>
          <w:szCs w:val="24"/>
        </w:rPr>
        <w:t>Clay Nanoparticles</w:t>
      </w:r>
      <w:r w:rsidRPr="00FF6389">
        <w:rPr>
          <w:rFonts w:cs="Times"/>
          <w:noProof/>
          <w:szCs w:val="24"/>
        </w:rPr>
        <w:t>; Elsevier, 2020; pp 169–184.</w:t>
      </w:r>
    </w:p>
    <w:p w14:paraId="09EF8D20"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(18) </w:t>
      </w:r>
      <w:r w:rsidRPr="00FF6389">
        <w:rPr>
          <w:rFonts w:cs="Times"/>
          <w:noProof/>
          <w:szCs w:val="24"/>
        </w:rPr>
        <w:tab/>
        <w:t xml:space="preserve">Li, P.; Zhang, Y.; Zuo, Y.; Lu, J.; Yuan, G.; Wu, Y. Preparation and Characterization of Sodium Silicate Impregnated Chinese Fir Wood with High Strength, Water Resistance, Flame Retardant and Smoke Suppression. </w:t>
      </w:r>
      <w:r w:rsidRPr="00FF6389">
        <w:rPr>
          <w:rFonts w:cs="Times"/>
          <w:i/>
          <w:iCs/>
          <w:noProof/>
          <w:szCs w:val="24"/>
        </w:rPr>
        <w:t>Journal of Materials Research and Technology</w:t>
      </w:r>
      <w:r w:rsidRPr="00FF6389">
        <w:rPr>
          <w:rFonts w:cs="Times"/>
          <w:noProof/>
          <w:szCs w:val="24"/>
        </w:rPr>
        <w:t>. Elsevier Editora Ltda January 1, 2020, pp 1043–1053.</w:t>
      </w:r>
    </w:p>
    <w:p w14:paraId="4605AB37"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(19) </w:t>
      </w:r>
      <w:r w:rsidRPr="00FF6389">
        <w:rPr>
          <w:rFonts w:cs="Times"/>
          <w:noProof/>
          <w:szCs w:val="24"/>
        </w:rPr>
        <w:tab/>
        <w:t xml:space="preserve">Huang, Y.; Ma, T.; Wang, Q.; Guo, C. Synthesis of Biobased Flame-Retardant Carboxylic Acid Curing Agent and Application in Wood Surface Coating. </w:t>
      </w:r>
      <w:r w:rsidRPr="00FF6389">
        <w:rPr>
          <w:rFonts w:cs="Times"/>
          <w:i/>
          <w:iCs/>
          <w:noProof/>
          <w:szCs w:val="24"/>
        </w:rPr>
        <w:t>ACS Sustain. Chem. Eng.</w:t>
      </w:r>
      <w:r w:rsidRPr="00FF6389">
        <w:rPr>
          <w:rFonts w:cs="Times"/>
          <w:noProof/>
          <w:szCs w:val="24"/>
        </w:rPr>
        <w:t xml:space="preserve"> </w:t>
      </w:r>
      <w:r w:rsidRPr="00FF6389">
        <w:rPr>
          <w:rFonts w:cs="Times"/>
          <w:b/>
          <w:bCs/>
          <w:noProof/>
          <w:szCs w:val="24"/>
        </w:rPr>
        <w:t>2019</w:t>
      </w:r>
      <w:r w:rsidRPr="00FF6389">
        <w:rPr>
          <w:rFonts w:cs="Times"/>
          <w:noProof/>
          <w:szCs w:val="24"/>
        </w:rPr>
        <w:t xml:space="preserve">, </w:t>
      </w:r>
      <w:r w:rsidRPr="00FF6389">
        <w:rPr>
          <w:rFonts w:cs="Times"/>
          <w:i/>
          <w:iCs/>
          <w:noProof/>
          <w:szCs w:val="24"/>
        </w:rPr>
        <w:t>7</w:t>
      </w:r>
      <w:r w:rsidRPr="00FF6389">
        <w:rPr>
          <w:rFonts w:cs="Times"/>
          <w:noProof/>
          <w:szCs w:val="24"/>
        </w:rPr>
        <w:t xml:space="preserve"> (17), 14727–14738.</w:t>
      </w:r>
    </w:p>
    <w:p w14:paraId="6286255C"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(20) </w:t>
      </w:r>
      <w:r w:rsidRPr="00FF6389">
        <w:rPr>
          <w:rFonts w:cs="Times"/>
          <w:noProof/>
          <w:szCs w:val="24"/>
        </w:rPr>
        <w:tab/>
        <w:t xml:space="preserve">Beh, J. H.; Yew, M. C.; Yew, M. K.; Saw, L. H. Fire Protection Performance and Thermal Behavior of Thin Film Intumescent Coating. </w:t>
      </w:r>
      <w:r w:rsidRPr="00FF6389">
        <w:rPr>
          <w:rFonts w:cs="Times"/>
          <w:i/>
          <w:iCs/>
          <w:noProof/>
          <w:szCs w:val="24"/>
        </w:rPr>
        <w:t>Coatings</w:t>
      </w:r>
      <w:r w:rsidRPr="00FF6389">
        <w:rPr>
          <w:rFonts w:cs="Times"/>
          <w:noProof/>
          <w:szCs w:val="24"/>
        </w:rPr>
        <w:t xml:space="preserve"> </w:t>
      </w:r>
      <w:r w:rsidRPr="00FF6389">
        <w:rPr>
          <w:rFonts w:cs="Times"/>
          <w:b/>
          <w:bCs/>
          <w:noProof/>
          <w:szCs w:val="24"/>
        </w:rPr>
        <w:t>2019</w:t>
      </w:r>
      <w:r w:rsidRPr="00FF6389">
        <w:rPr>
          <w:rFonts w:cs="Times"/>
          <w:noProof/>
          <w:szCs w:val="24"/>
        </w:rPr>
        <w:t xml:space="preserve">, </w:t>
      </w:r>
      <w:r w:rsidRPr="00FF6389">
        <w:rPr>
          <w:rFonts w:cs="Times"/>
          <w:i/>
          <w:iCs/>
          <w:noProof/>
          <w:szCs w:val="24"/>
        </w:rPr>
        <w:t>9</w:t>
      </w:r>
      <w:r w:rsidRPr="00FF6389">
        <w:rPr>
          <w:rFonts w:cs="Times"/>
          <w:noProof/>
          <w:szCs w:val="24"/>
        </w:rPr>
        <w:t xml:space="preserve"> (8), 483.</w:t>
      </w:r>
    </w:p>
    <w:p w14:paraId="4F542618"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(21) </w:t>
      </w:r>
      <w:r w:rsidRPr="00FF6389">
        <w:rPr>
          <w:rFonts w:cs="Times"/>
          <w:noProof/>
          <w:szCs w:val="24"/>
        </w:rPr>
        <w:tab/>
        <w:t xml:space="preserve">Qu, H.; Wu, W.; Zheng, Y.; Xie, J.; Xu, J. Synergistic Effects of Inorganic Tin Compounds and Sb2O3 on Thermal Properties and Flame Retardancy of Flexible Poly(vinyl Chloride). </w:t>
      </w:r>
      <w:r w:rsidRPr="00FF6389">
        <w:rPr>
          <w:rFonts w:cs="Times"/>
          <w:i/>
          <w:iCs/>
          <w:noProof/>
          <w:szCs w:val="24"/>
        </w:rPr>
        <w:t>Fire Saf. J.</w:t>
      </w:r>
      <w:r w:rsidRPr="00FF6389">
        <w:rPr>
          <w:rFonts w:cs="Times"/>
          <w:noProof/>
          <w:szCs w:val="24"/>
        </w:rPr>
        <w:t xml:space="preserve"> </w:t>
      </w:r>
      <w:r w:rsidRPr="00FF6389">
        <w:rPr>
          <w:rFonts w:cs="Times"/>
          <w:b/>
          <w:bCs/>
          <w:noProof/>
          <w:szCs w:val="24"/>
        </w:rPr>
        <w:t>2011</w:t>
      </w:r>
      <w:r w:rsidRPr="00FF6389">
        <w:rPr>
          <w:rFonts w:cs="Times"/>
          <w:noProof/>
          <w:szCs w:val="24"/>
        </w:rPr>
        <w:t xml:space="preserve">, </w:t>
      </w:r>
      <w:r w:rsidRPr="00FF6389">
        <w:rPr>
          <w:rFonts w:cs="Times"/>
          <w:i/>
          <w:iCs/>
          <w:noProof/>
          <w:szCs w:val="24"/>
        </w:rPr>
        <w:t>46</w:t>
      </w:r>
      <w:r w:rsidRPr="00FF6389">
        <w:rPr>
          <w:rFonts w:cs="Times"/>
          <w:noProof/>
          <w:szCs w:val="24"/>
        </w:rPr>
        <w:t xml:space="preserve"> (7), 462–467.</w:t>
      </w:r>
    </w:p>
    <w:p w14:paraId="6A46413B"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(22) </w:t>
      </w:r>
      <w:r w:rsidRPr="00FF6389">
        <w:rPr>
          <w:rFonts w:cs="Times"/>
          <w:noProof/>
          <w:szCs w:val="24"/>
        </w:rPr>
        <w:tab/>
        <w:t xml:space="preserve">Prieto, J.; Kiene, J. </w:t>
      </w:r>
      <w:r w:rsidRPr="00FF6389">
        <w:rPr>
          <w:rFonts w:cs="Times"/>
          <w:i/>
          <w:iCs/>
          <w:noProof/>
          <w:szCs w:val="24"/>
        </w:rPr>
        <w:t>Wood Coatings : Chemistry and Practice</w:t>
      </w:r>
      <w:r w:rsidRPr="00FF6389">
        <w:rPr>
          <w:rFonts w:cs="Times"/>
          <w:noProof/>
          <w:szCs w:val="24"/>
        </w:rPr>
        <w:t>; European Coatings, 2018.</w:t>
      </w:r>
    </w:p>
    <w:p w14:paraId="24415E76"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(23) </w:t>
      </w:r>
      <w:r w:rsidRPr="00FF6389">
        <w:rPr>
          <w:rFonts w:cs="Times"/>
          <w:noProof/>
          <w:szCs w:val="24"/>
        </w:rPr>
        <w:tab/>
        <w:t xml:space="preserve">Zauer, M.; Pfriem, A.; Wagenführ, A. Toward Improved Understanding of the Cell-Wall Density and Porosity of Wood Determined by Gas Pycnometry. </w:t>
      </w:r>
      <w:r w:rsidRPr="00FF6389">
        <w:rPr>
          <w:rFonts w:cs="Times"/>
          <w:i/>
          <w:iCs/>
          <w:noProof/>
          <w:szCs w:val="24"/>
        </w:rPr>
        <w:t>Wood Sci. Technol.</w:t>
      </w:r>
      <w:r w:rsidRPr="00FF6389">
        <w:rPr>
          <w:rFonts w:cs="Times"/>
          <w:noProof/>
          <w:szCs w:val="24"/>
        </w:rPr>
        <w:t xml:space="preserve"> </w:t>
      </w:r>
      <w:r w:rsidRPr="00FF6389">
        <w:rPr>
          <w:rFonts w:cs="Times"/>
          <w:b/>
          <w:bCs/>
          <w:noProof/>
          <w:szCs w:val="24"/>
        </w:rPr>
        <w:t>2013</w:t>
      </w:r>
      <w:r w:rsidRPr="00FF6389">
        <w:rPr>
          <w:rFonts w:cs="Times"/>
          <w:noProof/>
          <w:szCs w:val="24"/>
        </w:rPr>
        <w:t xml:space="preserve">, </w:t>
      </w:r>
      <w:r w:rsidRPr="00FF6389">
        <w:rPr>
          <w:rFonts w:cs="Times"/>
          <w:i/>
          <w:iCs/>
          <w:noProof/>
          <w:szCs w:val="24"/>
        </w:rPr>
        <w:t>47</w:t>
      </w:r>
      <w:r w:rsidRPr="00FF6389">
        <w:rPr>
          <w:rFonts w:cs="Times"/>
          <w:noProof/>
          <w:szCs w:val="24"/>
        </w:rPr>
        <w:t xml:space="preserve"> (6), 1197–1211.</w:t>
      </w:r>
    </w:p>
    <w:p w14:paraId="7AD1892A"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(24) </w:t>
      </w:r>
      <w:r w:rsidRPr="00FF6389">
        <w:rPr>
          <w:rFonts w:cs="Times"/>
          <w:noProof/>
          <w:szCs w:val="24"/>
        </w:rPr>
        <w:tab/>
        <w:t xml:space="preserve">Bulian, F.; Graystone, J. </w:t>
      </w:r>
      <w:r w:rsidRPr="00FF6389">
        <w:rPr>
          <w:rFonts w:cs="Times"/>
          <w:i/>
          <w:iCs/>
          <w:noProof/>
          <w:szCs w:val="24"/>
        </w:rPr>
        <w:t>Wood Coatings : Theory and Practice</w:t>
      </w:r>
      <w:r w:rsidRPr="00FF6389">
        <w:rPr>
          <w:rFonts w:cs="Times"/>
          <w:noProof/>
          <w:szCs w:val="24"/>
        </w:rPr>
        <w:t xml:space="preserve">; Elsevier Science, </w:t>
      </w:r>
      <w:r w:rsidRPr="00FF6389">
        <w:rPr>
          <w:rFonts w:cs="Times"/>
          <w:noProof/>
          <w:szCs w:val="24"/>
        </w:rPr>
        <w:lastRenderedPageBreak/>
        <w:t>2009.</w:t>
      </w:r>
    </w:p>
    <w:p w14:paraId="53880838"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(25) </w:t>
      </w:r>
      <w:r w:rsidRPr="00FF6389">
        <w:rPr>
          <w:rFonts w:cs="Times"/>
          <w:noProof/>
          <w:szCs w:val="24"/>
        </w:rPr>
        <w:tab/>
        <w:t xml:space="preserve">Langille, K. B.; Nguyen, D.; Bernt, J. O.; Veinot, D. E.; Murthy, M. K. Constitution and Properties of Phosphosilicate Coatings - Part I Influence of Sodium Phosphates on the Constitution of Sodium Silicate Coatings. </w:t>
      </w:r>
      <w:r w:rsidRPr="00FF6389">
        <w:rPr>
          <w:rFonts w:cs="Times"/>
          <w:i/>
          <w:iCs/>
          <w:noProof/>
          <w:szCs w:val="24"/>
        </w:rPr>
        <w:t>J. Mater. Sci.</w:t>
      </w:r>
      <w:r w:rsidRPr="00FF6389">
        <w:rPr>
          <w:rFonts w:cs="Times"/>
          <w:noProof/>
          <w:szCs w:val="24"/>
        </w:rPr>
        <w:t xml:space="preserve"> </w:t>
      </w:r>
      <w:r w:rsidRPr="00FF6389">
        <w:rPr>
          <w:rFonts w:cs="Times"/>
          <w:b/>
          <w:bCs/>
          <w:noProof/>
          <w:szCs w:val="24"/>
        </w:rPr>
        <w:t>1993</w:t>
      </w:r>
      <w:r w:rsidRPr="00FF6389">
        <w:rPr>
          <w:rFonts w:cs="Times"/>
          <w:noProof/>
          <w:szCs w:val="24"/>
        </w:rPr>
        <w:t xml:space="preserve">, </w:t>
      </w:r>
      <w:r w:rsidRPr="00FF6389">
        <w:rPr>
          <w:rFonts w:cs="Times"/>
          <w:i/>
          <w:iCs/>
          <w:noProof/>
          <w:szCs w:val="24"/>
        </w:rPr>
        <w:t>28</w:t>
      </w:r>
      <w:r w:rsidRPr="00FF6389">
        <w:rPr>
          <w:rFonts w:cs="Times"/>
          <w:noProof/>
          <w:szCs w:val="24"/>
        </w:rPr>
        <w:t xml:space="preserve"> (15), 4175–4182.</w:t>
      </w:r>
    </w:p>
    <w:p w14:paraId="24B01ED7"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(26) </w:t>
      </w:r>
      <w:r w:rsidRPr="00FF6389">
        <w:rPr>
          <w:rFonts w:cs="Times"/>
          <w:noProof/>
          <w:szCs w:val="24"/>
        </w:rPr>
        <w:tab/>
        <w:t xml:space="preserve">White, R. H.; Dietenberger, M. A. Fire Safety of Wood Construction. In </w:t>
      </w:r>
      <w:r w:rsidRPr="00FF6389">
        <w:rPr>
          <w:rFonts w:cs="Times"/>
          <w:i/>
          <w:iCs/>
          <w:noProof/>
          <w:szCs w:val="24"/>
        </w:rPr>
        <w:t>Wood handbook: wood as an engineering material</w:t>
      </w:r>
      <w:r w:rsidRPr="00FF6389">
        <w:rPr>
          <w:rFonts w:cs="Times"/>
          <w:noProof/>
          <w:szCs w:val="24"/>
        </w:rPr>
        <w:t>; US Dept. of Agriculture, Forest Service, Forest Products Laboratory, 2010; p 18.1-18.22.</w:t>
      </w:r>
    </w:p>
    <w:p w14:paraId="139BF76C"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(27) </w:t>
      </w:r>
      <w:r w:rsidRPr="00FF6389">
        <w:rPr>
          <w:rFonts w:cs="Times"/>
          <w:noProof/>
          <w:szCs w:val="24"/>
        </w:rPr>
        <w:tab/>
        <w:t xml:space="preserve">Weil, E. D. Fire-Protective and Flame-Retardant Coatings - A State-of-the-Art Review. </w:t>
      </w:r>
      <w:r w:rsidRPr="00FF6389">
        <w:rPr>
          <w:rFonts w:cs="Times"/>
          <w:i/>
          <w:iCs/>
          <w:noProof/>
          <w:szCs w:val="24"/>
        </w:rPr>
        <w:t>J. Fire Sci.</w:t>
      </w:r>
      <w:r w:rsidRPr="00FF6389">
        <w:rPr>
          <w:rFonts w:cs="Times"/>
          <w:noProof/>
          <w:szCs w:val="24"/>
        </w:rPr>
        <w:t xml:space="preserve"> </w:t>
      </w:r>
      <w:r w:rsidRPr="00FF6389">
        <w:rPr>
          <w:rFonts w:cs="Times"/>
          <w:b/>
          <w:bCs/>
          <w:noProof/>
          <w:szCs w:val="24"/>
        </w:rPr>
        <w:t>2011</w:t>
      </w:r>
      <w:r w:rsidRPr="00FF6389">
        <w:rPr>
          <w:rFonts w:cs="Times"/>
          <w:noProof/>
          <w:szCs w:val="24"/>
        </w:rPr>
        <w:t xml:space="preserve">, </w:t>
      </w:r>
      <w:r w:rsidRPr="00FF6389">
        <w:rPr>
          <w:rFonts w:cs="Times"/>
          <w:i/>
          <w:iCs/>
          <w:noProof/>
          <w:szCs w:val="24"/>
        </w:rPr>
        <w:t>29</w:t>
      </w:r>
      <w:r w:rsidRPr="00FF6389">
        <w:rPr>
          <w:rFonts w:cs="Times"/>
          <w:noProof/>
          <w:szCs w:val="24"/>
        </w:rPr>
        <w:t xml:space="preserve"> (3), 259–296.</w:t>
      </w:r>
    </w:p>
    <w:p w14:paraId="616FB17D"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(28) </w:t>
      </w:r>
      <w:r w:rsidRPr="00FF6389">
        <w:rPr>
          <w:rFonts w:cs="Times"/>
          <w:noProof/>
          <w:szCs w:val="24"/>
        </w:rPr>
        <w:tab/>
        <w:t xml:space="preserve">Nelson, T. J.; Masaki, B.; Morseth, Z.; Webster, D. C. Highly Functional Biobased Polyols and Their Use in Melamine-Formaldehyde Coatings. </w:t>
      </w:r>
      <w:r w:rsidRPr="00FF6389">
        <w:rPr>
          <w:rFonts w:cs="Times"/>
          <w:i/>
          <w:iCs/>
          <w:noProof/>
          <w:szCs w:val="24"/>
        </w:rPr>
        <w:t>J. Coatings Technol. Res.</w:t>
      </w:r>
      <w:r w:rsidRPr="00FF6389">
        <w:rPr>
          <w:rFonts w:cs="Times"/>
          <w:noProof/>
          <w:szCs w:val="24"/>
        </w:rPr>
        <w:t xml:space="preserve"> </w:t>
      </w:r>
      <w:r w:rsidRPr="00FF6389">
        <w:rPr>
          <w:rFonts w:cs="Times"/>
          <w:b/>
          <w:bCs/>
          <w:noProof/>
          <w:szCs w:val="24"/>
        </w:rPr>
        <w:t>2013</w:t>
      </w:r>
      <w:r w:rsidRPr="00FF6389">
        <w:rPr>
          <w:rFonts w:cs="Times"/>
          <w:noProof/>
          <w:szCs w:val="24"/>
        </w:rPr>
        <w:t xml:space="preserve">, </w:t>
      </w:r>
      <w:r w:rsidRPr="00FF6389">
        <w:rPr>
          <w:rFonts w:cs="Times"/>
          <w:i/>
          <w:iCs/>
          <w:noProof/>
          <w:szCs w:val="24"/>
        </w:rPr>
        <w:t>10</w:t>
      </w:r>
      <w:r w:rsidRPr="00FF6389">
        <w:rPr>
          <w:rFonts w:cs="Times"/>
          <w:noProof/>
          <w:szCs w:val="24"/>
        </w:rPr>
        <w:t xml:space="preserve"> (6), 757–767.</w:t>
      </w:r>
    </w:p>
    <w:p w14:paraId="14F8FEA6"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(29) </w:t>
      </w:r>
      <w:r w:rsidRPr="00FF6389">
        <w:rPr>
          <w:rFonts w:cs="Times"/>
          <w:noProof/>
          <w:szCs w:val="24"/>
        </w:rPr>
        <w:tab/>
        <w:t xml:space="preserve">Jimenez, M.; Duquesne, S.; Bourbigot, S. Characterization of the Performance of an Intumescent Fire Protective Coating. </w:t>
      </w:r>
      <w:r w:rsidRPr="00FF6389">
        <w:rPr>
          <w:rFonts w:cs="Times"/>
          <w:i/>
          <w:iCs/>
          <w:noProof/>
          <w:szCs w:val="24"/>
        </w:rPr>
        <w:t>Surf. Coatings Technol.</w:t>
      </w:r>
      <w:r w:rsidRPr="00FF6389">
        <w:rPr>
          <w:rFonts w:cs="Times"/>
          <w:noProof/>
          <w:szCs w:val="24"/>
        </w:rPr>
        <w:t xml:space="preserve"> </w:t>
      </w:r>
      <w:r w:rsidRPr="00FF6389">
        <w:rPr>
          <w:rFonts w:cs="Times"/>
          <w:b/>
          <w:bCs/>
          <w:noProof/>
          <w:szCs w:val="24"/>
        </w:rPr>
        <w:t>2006</w:t>
      </w:r>
      <w:r w:rsidRPr="00FF6389">
        <w:rPr>
          <w:rFonts w:cs="Times"/>
          <w:noProof/>
          <w:szCs w:val="24"/>
        </w:rPr>
        <w:t xml:space="preserve">, </w:t>
      </w:r>
      <w:r w:rsidRPr="00FF6389">
        <w:rPr>
          <w:rFonts w:cs="Times"/>
          <w:i/>
          <w:iCs/>
          <w:noProof/>
          <w:szCs w:val="24"/>
        </w:rPr>
        <w:t>201</w:t>
      </w:r>
      <w:r w:rsidRPr="00FF6389">
        <w:rPr>
          <w:rFonts w:cs="Times"/>
          <w:noProof/>
          <w:szCs w:val="24"/>
        </w:rPr>
        <w:t xml:space="preserve"> (3–4), 979–987.</w:t>
      </w:r>
    </w:p>
    <w:p w14:paraId="2F4DF1E9"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(30) </w:t>
      </w:r>
      <w:r w:rsidRPr="00FF6389">
        <w:rPr>
          <w:rFonts w:cs="Times"/>
          <w:noProof/>
          <w:szCs w:val="24"/>
        </w:rPr>
        <w:tab/>
        <w:t xml:space="preserve">Streitberger, H. J.; Goldschmidt, A. </w:t>
      </w:r>
      <w:r w:rsidRPr="00FF6389">
        <w:rPr>
          <w:rFonts w:cs="Times"/>
          <w:i/>
          <w:iCs/>
          <w:noProof/>
          <w:szCs w:val="24"/>
        </w:rPr>
        <w:t>BASF Handbook Basics of Coating Technology</w:t>
      </w:r>
      <w:r w:rsidRPr="00FF6389">
        <w:rPr>
          <w:rFonts w:cs="Times"/>
          <w:noProof/>
          <w:szCs w:val="24"/>
        </w:rPr>
        <w:t>, 3rd ed.; European Coatings, 2018.</w:t>
      </w:r>
    </w:p>
    <w:p w14:paraId="5C4635AF"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(31) </w:t>
      </w:r>
      <w:r w:rsidRPr="00FF6389">
        <w:rPr>
          <w:rFonts w:cs="Times"/>
          <w:noProof/>
          <w:szCs w:val="24"/>
        </w:rPr>
        <w:tab/>
        <w:t xml:space="preserve">Sagar, S.; Iqbal, N.; Maqsood, A.; Javaid, U. Thermogravimetric, Differential Scanning Calorimetric and Experimental Thermal Transport Study of MWCNT/NBR Nanocomposites. </w:t>
      </w:r>
      <w:r w:rsidRPr="00FF6389">
        <w:rPr>
          <w:rFonts w:cs="Times"/>
          <w:i/>
          <w:iCs/>
          <w:noProof/>
          <w:szCs w:val="24"/>
        </w:rPr>
        <w:t>J. Therm. Anal. Calorim.</w:t>
      </w:r>
      <w:r w:rsidRPr="00FF6389">
        <w:rPr>
          <w:rFonts w:cs="Times"/>
          <w:noProof/>
          <w:szCs w:val="24"/>
        </w:rPr>
        <w:t xml:space="preserve"> </w:t>
      </w:r>
      <w:r w:rsidRPr="00FF6389">
        <w:rPr>
          <w:rFonts w:cs="Times"/>
          <w:b/>
          <w:bCs/>
          <w:noProof/>
          <w:szCs w:val="24"/>
        </w:rPr>
        <w:t>2013</w:t>
      </w:r>
      <w:r w:rsidRPr="00FF6389">
        <w:rPr>
          <w:rFonts w:cs="Times"/>
          <w:noProof/>
          <w:szCs w:val="24"/>
        </w:rPr>
        <w:t xml:space="preserve">, </w:t>
      </w:r>
      <w:r w:rsidRPr="00FF6389">
        <w:rPr>
          <w:rFonts w:cs="Times"/>
          <w:i/>
          <w:iCs/>
          <w:noProof/>
          <w:szCs w:val="24"/>
        </w:rPr>
        <w:t>114</w:t>
      </w:r>
      <w:r w:rsidRPr="00FF6389">
        <w:rPr>
          <w:rFonts w:cs="Times"/>
          <w:noProof/>
          <w:szCs w:val="24"/>
        </w:rPr>
        <w:t xml:space="preserve"> (1), 161–167.</w:t>
      </w:r>
    </w:p>
    <w:p w14:paraId="0C8663B4"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lastRenderedPageBreak/>
        <w:t xml:space="preserve">(32) </w:t>
      </w:r>
      <w:r w:rsidRPr="00FF6389">
        <w:rPr>
          <w:rFonts w:cs="Times"/>
          <w:noProof/>
          <w:szCs w:val="24"/>
        </w:rPr>
        <w:tab/>
        <w:t xml:space="preserve">Liu, R.; Wang, X. Synthesis, Characterization, Thermal Properties and Flame Retardancy of a Novel Nonflammable Phosphazene-Based Epoxy Resin. </w:t>
      </w:r>
      <w:r w:rsidRPr="00FF6389">
        <w:rPr>
          <w:rFonts w:cs="Times"/>
          <w:i/>
          <w:iCs/>
          <w:noProof/>
          <w:szCs w:val="24"/>
        </w:rPr>
        <w:t>Polym. Degrad. Stab.</w:t>
      </w:r>
      <w:r w:rsidRPr="00FF6389">
        <w:rPr>
          <w:rFonts w:cs="Times"/>
          <w:noProof/>
          <w:szCs w:val="24"/>
        </w:rPr>
        <w:t xml:space="preserve"> </w:t>
      </w:r>
      <w:r w:rsidRPr="00FF6389">
        <w:rPr>
          <w:rFonts w:cs="Times"/>
          <w:b/>
          <w:bCs/>
          <w:noProof/>
          <w:szCs w:val="24"/>
        </w:rPr>
        <w:t>2009</w:t>
      </w:r>
      <w:r w:rsidRPr="00FF6389">
        <w:rPr>
          <w:rFonts w:cs="Times"/>
          <w:noProof/>
          <w:szCs w:val="24"/>
        </w:rPr>
        <w:t xml:space="preserve">, </w:t>
      </w:r>
      <w:r w:rsidRPr="00FF6389">
        <w:rPr>
          <w:rFonts w:cs="Times"/>
          <w:i/>
          <w:iCs/>
          <w:noProof/>
          <w:szCs w:val="24"/>
        </w:rPr>
        <w:t>94</w:t>
      </w:r>
      <w:r w:rsidRPr="00FF6389">
        <w:rPr>
          <w:rFonts w:cs="Times"/>
          <w:noProof/>
          <w:szCs w:val="24"/>
        </w:rPr>
        <w:t xml:space="preserve"> (4), 617–624.</w:t>
      </w:r>
    </w:p>
    <w:p w14:paraId="1AAB9DCD"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(33) </w:t>
      </w:r>
      <w:r w:rsidRPr="00FF6389">
        <w:rPr>
          <w:rFonts w:cs="Times"/>
          <w:noProof/>
          <w:szCs w:val="24"/>
        </w:rPr>
        <w:tab/>
        <w:t xml:space="preserve">Hassan, M. A.; Kozlowski, R.; Obidzinski, B. New Fire-Protective Intumescent Coatings for Wood. </w:t>
      </w:r>
      <w:r w:rsidRPr="00FF6389">
        <w:rPr>
          <w:rFonts w:cs="Times"/>
          <w:i/>
          <w:iCs/>
          <w:noProof/>
          <w:szCs w:val="24"/>
        </w:rPr>
        <w:t>J. Appl. Polym. Sci.</w:t>
      </w:r>
      <w:r w:rsidRPr="00FF6389">
        <w:rPr>
          <w:rFonts w:cs="Times"/>
          <w:noProof/>
          <w:szCs w:val="24"/>
        </w:rPr>
        <w:t xml:space="preserve"> </w:t>
      </w:r>
      <w:r w:rsidRPr="00FF6389">
        <w:rPr>
          <w:rFonts w:cs="Times"/>
          <w:b/>
          <w:bCs/>
          <w:noProof/>
          <w:szCs w:val="24"/>
        </w:rPr>
        <w:t>2008</w:t>
      </w:r>
      <w:r w:rsidRPr="00FF6389">
        <w:rPr>
          <w:rFonts w:cs="Times"/>
          <w:noProof/>
          <w:szCs w:val="24"/>
        </w:rPr>
        <w:t xml:space="preserve">, </w:t>
      </w:r>
      <w:r w:rsidRPr="00FF6389">
        <w:rPr>
          <w:rFonts w:cs="Times"/>
          <w:i/>
          <w:iCs/>
          <w:noProof/>
          <w:szCs w:val="24"/>
        </w:rPr>
        <w:t>110</w:t>
      </w:r>
      <w:r w:rsidRPr="00FF6389">
        <w:rPr>
          <w:rFonts w:cs="Times"/>
          <w:noProof/>
          <w:szCs w:val="24"/>
        </w:rPr>
        <w:t xml:space="preserve"> (1), 83–90.</w:t>
      </w:r>
    </w:p>
    <w:p w14:paraId="44D177CC"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(34) </w:t>
      </w:r>
      <w:r w:rsidRPr="00FF6389">
        <w:rPr>
          <w:rFonts w:cs="Times"/>
          <w:noProof/>
          <w:szCs w:val="24"/>
        </w:rPr>
        <w:tab/>
        <w:t xml:space="preserve">Pan, Y.; Pan, H.; Yuan, B.; Hong, N.; Zhan, J.; Wang, B.; Song, L.; Hu, Y. Construction of Organic-Inorganic Hybrid Nano-Coatings Containing α-Zirconium Phosphate with High Efficiency for Reducing Fire Hazards of Flexible Polyurethane Foam. </w:t>
      </w:r>
      <w:r w:rsidRPr="00FF6389">
        <w:rPr>
          <w:rFonts w:cs="Times"/>
          <w:i/>
          <w:iCs/>
          <w:noProof/>
          <w:szCs w:val="24"/>
        </w:rPr>
        <w:t>Mater. Chem. Phys.</w:t>
      </w:r>
      <w:r w:rsidRPr="00FF6389">
        <w:rPr>
          <w:rFonts w:cs="Times"/>
          <w:noProof/>
          <w:szCs w:val="24"/>
        </w:rPr>
        <w:t xml:space="preserve"> </w:t>
      </w:r>
      <w:r w:rsidRPr="00FF6389">
        <w:rPr>
          <w:rFonts w:cs="Times"/>
          <w:b/>
          <w:bCs/>
          <w:noProof/>
          <w:szCs w:val="24"/>
        </w:rPr>
        <w:t>2015</w:t>
      </w:r>
      <w:r w:rsidRPr="00FF6389">
        <w:rPr>
          <w:rFonts w:cs="Times"/>
          <w:noProof/>
          <w:szCs w:val="24"/>
        </w:rPr>
        <w:t xml:space="preserve">, </w:t>
      </w:r>
      <w:r w:rsidRPr="00FF6389">
        <w:rPr>
          <w:rFonts w:cs="Times"/>
          <w:i/>
          <w:iCs/>
          <w:noProof/>
          <w:szCs w:val="24"/>
        </w:rPr>
        <w:t>163</w:t>
      </w:r>
      <w:r w:rsidRPr="00FF6389">
        <w:rPr>
          <w:rFonts w:cs="Times"/>
          <w:noProof/>
          <w:szCs w:val="24"/>
        </w:rPr>
        <w:t>, 107–115.</w:t>
      </w:r>
    </w:p>
    <w:p w14:paraId="32ED9B09"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(35) </w:t>
      </w:r>
      <w:r w:rsidRPr="00FF6389">
        <w:rPr>
          <w:rFonts w:cs="Times"/>
          <w:noProof/>
          <w:szCs w:val="24"/>
        </w:rPr>
        <w:tab/>
        <w:t xml:space="preserve">Pas’ko, Y. V.; Machneva, O. P. A Technology for Producing Low-Toxicity Phenol—Formaldehyde Resins. </w:t>
      </w:r>
      <w:r w:rsidRPr="00FF6389">
        <w:rPr>
          <w:rFonts w:cs="Times"/>
          <w:i/>
          <w:iCs/>
          <w:noProof/>
          <w:szCs w:val="24"/>
        </w:rPr>
        <w:t>Polym. Sci. - Ser. D</w:t>
      </w:r>
      <w:r w:rsidRPr="00FF6389">
        <w:rPr>
          <w:rFonts w:cs="Times"/>
          <w:noProof/>
          <w:szCs w:val="24"/>
        </w:rPr>
        <w:t xml:space="preserve"> </w:t>
      </w:r>
      <w:r w:rsidRPr="00FF6389">
        <w:rPr>
          <w:rFonts w:cs="Times"/>
          <w:b/>
          <w:bCs/>
          <w:noProof/>
          <w:szCs w:val="24"/>
        </w:rPr>
        <w:t>2019</w:t>
      </w:r>
      <w:r w:rsidRPr="00FF6389">
        <w:rPr>
          <w:rFonts w:cs="Times"/>
          <w:noProof/>
          <w:szCs w:val="24"/>
        </w:rPr>
        <w:t xml:space="preserve">, </w:t>
      </w:r>
      <w:r w:rsidRPr="00FF6389">
        <w:rPr>
          <w:rFonts w:cs="Times"/>
          <w:i/>
          <w:iCs/>
          <w:noProof/>
          <w:szCs w:val="24"/>
        </w:rPr>
        <w:t>12</w:t>
      </w:r>
      <w:r w:rsidRPr="00FF6389">
        <w:rPr>
          <w:rFonts w:cs="Times"/>
          <w:noProof/>
          <w:szCs w:val="24"/>
        </w:rPr>
        <w:t xml:space="preserve"> (3), 283–285.</w:t>
      </w:r>
    </w:p>
    <w:p w14:paraId="60617E83"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(36) </w:t>
      </w:r>
      <w:r w:rsidRPr="00FF6389">
        <w:rPr>
          <w:rFonts w:cs="Times"/>
          <w:noProof/>
          <w:szCs w:val="24"/>
        </w:rPr>
        <w:tab/>
        <w:t xml:space="preserve">Younesi-Kordkheili, H.; Kazemi-Najafi, S.; Eshkiki, R. B.; Pizzi, A. Improving Urea Formaldehyde Resin Properties by Glyoxalated Soda Bagasse Lignin. </w:t>
      </w:r>
      <w:r w:rsidRPr="00FF6389">
        <w:rPr>
          <w:rFonts w:cs="Times"/>
          <w:i/>
          <w:iCs/>
          <w:noProof/>
          <w:szCs w:val="24"/>
        </w:rPr>
        <w:t>Eur. J. Wood Wood Prod.</w:t>
      </w:r>
      <w:r w:rsidRPr="00FF6389">
        <w:rPr>
          <w:rFonts w:cs="Times"/>
          <w:noProof/>
          <w:szCs w:val="24"/>
        </w:rPr>
        <w:t xml:space="preserve"> </w:t>
      </w:r>
      <w:r w:rsidRPr="00FF6389">
        <w:rPr>
          <w:rFonts w:cs="Times"/>
          <w:b/>
          <w:bCs/>
          <w:noProof/>
          <w:szCs w:val="24"/>
        </w:rPr>
        <w:t>2015</w:t>
      </w:r>
      <w:r w:rsidRPr="00FF6389">
        <w:rPr>
          <w:rFonts w:cs="Times"/>
          <w:noProof/>
          <w:szCs w:val="24"/>
        </w:rPr>
        <w:t xml:space="preserve">, </w:t>
      </w:r>
      <w:r w:rsidRPr="00FF6389">
        <w:rPr>
          <w:rFonts w:cs="Times"/>
          <w:i/>
          <w:iCs/>
          <w:noProof/>
          <w:szCs w:val="24"/>
        </w:rPr>
        <w:t>73</w:t>
      </w:r>
      <w:r w:rsidRPr="00FF6389">
        <w:rPr>
          <w:rFonts w:cs="Times"/>
          <w:noProof/>
          <w:szCs w:val="24"/>
        </w:rPr>
        <w:t xml:space="preserve"> (1), 77–85.</w:t>
      </w:r>
    </w:p>
    <w:p w14:paraId="173F440E"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(37) </w:t>
      </w:r>
      <w:r w:rsidRPr="00FF6389">
        <w:rPr>
          <w:rFonts w:cs="Times"/>
          <w:noProof/>
          <w:szCs w:val="24"/>
        </w:rPr>
        <w:tab/>
        <w:t xml:space="preserve">Koumba-Yoya, G.; Stevanovic, T. Study of Organosolv Lignins as Adhesives in Wood Panel Production. </w:t>
      </w:r>
      <w:r w:rsidRPr="00FF6389">
        <w:rPr>
          <w:rFonts w:cs="Times"/>
          <w:i/>
          <w:iCs/>
          <w:noProof/>
          <w:szCs w:val="24"/>
        </w:rPr>
        <w:t>Polymers (Basel).</w:t>
      </w:r>
      <w:r w:rsidRPr="00FF6389">
        <w:rPr>
          <w:rFonts w:cs="Times"/>
          <w:noProof/>
          <w:szCs w:val="24"/>
        </w:rPr>
        <w:t xml:space="preserve"> </w:t>
      </w:r>
      <w:r w:rsidRPr="00FF6389">
        <w:rPr>
          <w:rFonts w:cs="Times"/>
          <w:b/>
          <w:bCs/>
          <w:noProof/>
          <w:szCs w:val="24"/>
        </w:rPr>
        <w:t>2017</w:t>
      </w:r>
      <w:r w:rsidRPr="00FF6389">
        <w:rPr>
          <w:rFonts w:cs="Times"/>
          <w:noProof/>
          <w:szCs w:val="24"/>
        </w:rPr>
        <w:t xml:space="preserve">, </w:t>
      </w:r>
      <w:r w:rsidRPr="00FF6389">
        <w:rPr>
          <w:rFonts w:cs="Times"/>
          <w:i/>
          <w:iCs/>
          <w:noProof/>
          <w:szCs w:val="24"/>
        </w:rPr>
        <w:t>9</w:t>
      </w:r>
      <w:r w:rsidRPr="00FF6389">
        <w:rPr>
          <w:rFonts w:cs="Times"/>
          <w:noProof/>
          <w:szCs w:val="24"/>
        </w:rPr>
        <w:t xml:space="preserve"> (12), 46.</w:t>
      </w:r>
    </w:p>
    <w:p w14:paraId="7122861B"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(38) </w:t>
      </w:r>
      <w:r w:rsidRPr="00FF6389">
        <w:rPr>
          <w:rFonts w:cs="Times"/>
          <w:noProof/>
          <w:szCs w:val="24"/>
        </w:rPr>
        <w:tab/>
        <w:t xml:space="preserve">Pizzi, A. Biosourced Thermosets for Lignocellulosic Composites. In </w:t>
      </w:r>
      <w:r w:rsidRPr="00FF6389">
        <w:rPr>
          <w:rFonts w:cs="Times"/>
          <w:i/>
          <w:iCs/>
          <w:noProof/>
          <w:szCs w:val="24"/>
        </w:rPr>
        <w:t>Thermoset Composites</w:t>
      </w:r>
      <w:r w:rsidRPr="00FF6389">
        <w:rPr>
          <w:rFonts w:cs="Times"/>
          <w:noProof/>
          <w:szCs w:val="24"/>
        </w:rPr>
        <w:t>; Khan, A., Bhawani, S. A., Asiri, A. M., Khan, I., Eds.; Materials Research Foundation, 2018; pp 81–111.</w:t>
      </w:r>
    </w:p>
    <w:p w14:paraId="547F9C6A"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(39) </w:t>
      </w:r>
      <w:r w:rsidRPr="00FF6389">
        <w:rPr>
          <w:rFonts w:cs="Times"/>
          <w:noProof/>
          <w:szCs w:val="24"/>
        </w:rPr>
        <w:tab/>
        <w:t xml:space="preserve">Li, C.; Zhang, J.; Yi, Z.; Yang, H.; Zhao, B.; Zhang, W.; Li, J. Preparation and Characterization of a Novel Environmentally Friendly Phenol-Formaldehyde Adhesive Modified with Tannin and Urea. </w:t>
      </w:r>
      <w:r w:rsidRPr="00FF6389">
        <w:rPr>
          <w:rFonts w:cs="Times"/>
          <w:i/>
          <w:iCs/>
          <w:noProof/>
          <w:szCs w:val="24"/>
        </w:rPr>
        <w:t>Int. J. Adhes. Adhes.</w:t>
      </w:r>
      <w:r w:rsidRPr="00FF6389">
        <w:rPr>
          <w:rFonts w:cs="Times"/>
          <w:noProof/>
          <w:szCs w:val="24"/>
        </w:rPr>
        <w:t xml:space="preserve"> </w:t>
      </w:r>
      <w:r w:rsidRPr="00FF6389">
        <w:rPr>
          <w:rFonts w:cs="Times"/>
          <w:b/>
          <w:bCs/>
          <w:noProof/>
          <w:szCs w:val="24"/>
        </w:rPr>
        <w:t>2016</w:t>
      </w:r>
      <w:r w:rsidRPr="00FF6389">
        <w:rPr>
          <w:rFonts w:cs="Times"/>
          <w:noProof/>
          <w:szCs w:val="24"/>
        </w:rPr>
        <w:t xml:space="preserve">, </w:t>
      </w:r>
      <w:r w:rsidRPr="00FF6389">
        <w:rPr>
          <w:rFonts w:cs="Times"/>
          <w:i/>
          <w:iCs/>
          <w:noProof/>
          <w:szCs w:val="24"/>
        </w:rPr>
        <w:t>66</w:t>
      </w:r>
      <w:r w:rsidRPr="00FF6389">
        <w:rPr>
          <w:rFonts w:cs="Times"/>
          <w:noProof/>
          <w:szCs w:val="24"/>
        </w:rPr>
        <w:t>, 26–32.</w:t>
      </w:r>
    </w:p>
    <w:p w14:paraId="3EA069D9"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lastRenderedPageBreak/>
        <w:t xml:space="preserve">(40) </w:t>
      </w:r>
      <w:r w:rsidRPr="00FF6389">
        <w:rPr>
          <w:rFonts w:cs="Times"/>
          <w:noProof/>
          <w:szCs w:val="24"/>
        </w:rPr>
        <w:tab/>
        <w:t xml:space="preserve">Shrotri, A.; Kobayashi, H.; Fukuoka, A. Catalytic Conversion of Structural Carbohydrates and Lignin to Chemicals. In </w:t>
      </w:r>
      <w:r w:rsidRPr="00FF6389">
        <w:rPr>
          <w:rFonts w:cs="Times"/>
          <w:i/>
          <w:iCs/>
          <w:noProof/>
          <w:szCs w:val="24"/>
        </w:rPr>
        <w:t>Advances in Catalysis</w:t>
      </w:r>
      <w:r w:rsidRPr="00FF6389">
        <w:rPr>
          <w:rFonts w:cs="Times"/>
          <w:noProof/>
          <w:szCs w:val="24"/>
        </w:rPr>
        <w:t>; Academic Press Inc., 2017; Vol. 60, pp 59–123.</w:t>
      </w:r>
    </w:p>
    <w:p w14:paraId="2B096D6B"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(41) </w:t>
      </w:r>
      <w:r w:rsidRPr="00FF6389">
        <w:rPr>
          <w:rFonts w:cs="Times"/>
          <w:noProof/>
          <w:szCs w:val="24"/>
        </w:rPr>
        <w:tab/>
        <w:t xml:space="preserve">Laurichesse, S.; Avérous, L. Chemical Modification of Lignins: Towards Biobased Polymers. </w:t>
      </w:r>
      <w:r w:rsidRPr="00FF6389">
        <w:rPr>
          <w:rFonts w:cs="Times"/>
          <w:i/>
          <w:iCs/>
          <w:noProof/>
          <w:szCs w:val="24"/>
        </w:rPr>
        <w:t>Prog. Polym. Sci.</w:t>
      </w:r>
      <w:r w:rsidRPr="00FF6389">
        <w:rPr>
          <w:rFonts w:cs="Times"/>
          <w:noProof/>
          <w:szCs w:val="24"/>
        </w:rPr>
        <w:t xml:space="preserve"> </w:t>
      </w:r>
      <w:r w:rsidRPr="00FF6389">
        <w:rPr>
          <w:rFonts w:cs="Times"/>
          <w:b/>
          <w:bCs/>
          <w:noProof/>
          <w:szCs w:val="24"/>
        </w:rPr>
        <w:t>2014</w:t>
      </w:r>
      <w:r w:rsidRPr="00FF6389">
        <w:rPr>
          <w:rFonts w:cs="Times"/>
          <w:noProof/>
          <w:szCs w:val="24"/>
        </w:rPr>
        <w:t xml:space="preserve">, </w:t>
      </w:r>
      <w:r w:rsidRPr="00FF6389">
        <w:rPr>
          <w:rFonts w:cs="Times"/>
          <w:i/>
          <w:iCs/>
          <w:noProof/>
          <w:szCs w:val="24"/>
        </w:rPr>
        <w:t>39</w:t>
      </w:r>
      <w:r w:rsidRPr="00FF6389">
        <w:rPr>
          <w:rFonts w:cs="Times"/>
          <w:noProof/>
          <w:szCs w:val="24"/>
        </w:rPr>
        <w:t xml:space="preserve"> (7), 1266–1290.</w:t>
      </w:r>
    </w:p>
    <w:p w14:paraId="23B77591"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(42) </w:t>
      </w:r>
      <w:r w:rsidRPr="00FF6389">
        <w:rPr>
          <w:rFonts w:cs="Times"/>
          <w:noProof/>
          <w:szCs w:val="24"/>
        </w:rPr>
        <w:tab/>
        <w:t xml:space="preserve">Bele, A. A.; Jadhav, V. M.; Kadam, V. J. Potential of Tannnins: A Review. </w:t>
      </w:r>
      <w:r w:rsidRPr="00FF6389">
        <w:rPr>
          <w:rFonts w:cs="Times"/>
          <w:i/>
          <w:iCs/>
          <w:noProof/>
          <w:szCs w:val="24"/>
        </w:rPr>
        <w:t>Asian J. Plant Sci.</w:t>
      </w:r>
      <w:r w:rsidRPr="00FF6389">
        <w:rPr>
          <w:rFonts w:cs="Times"/>
          <w:noProof/>
          <w:szCs w:val="24"/>
        </w:rPr>
        <w:t xml:space="preserve"> </w:t>
      </w:r>
      <w:r w:rsidRPr="00FF6389">
        <w:rPr>
          <w:rFonts w:cs="Times"/>
          <w:b/>
          <w:bCs/>
          <w:noProof/>
          <w:szCs w:val="24"/>
        </w:rPr>
        <w:t>2010</w:t>
      </w:r>
      <w:r w:rsidRPr="00FF6389">
        <w:rPr>
          <w:rFonts w:cs="Times"/>
          <w:noProof/>
          <w:szCs w:val="24"/>
        </w:rPr>
        <w:t xml:space="preserve">, </w:t>
      </w:r>
      <w:r w:rsidRPr="00FF6389">
        <w:rPr>
          <w:rFonts w:cs="Times"/>
          <w:i/>
          <w:iCs/>
          <w:noProof/>
          <w:szCs w:val="24"/>
        </w:rPr>
        <w:t>9</w:t>
      </w:r>
      <w:r w:rsidRPr="00FF6389">
        <w:rPr>
          <w:rFonts w:cs="Times"/>
          <w:noProof/>
          <w:szCs w:val="24"/>
        </w:rPr>
        <w:t xml:space="preserve"> (4), 209–214.</w:t>
      </w:r>
    </w:p>
    <w:p w14:paraId="50261165"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(43) </w:t>
      </w:r>
      <w:r w:rsidRPr="00FF6389">
        <w:rPr>
          <w:rFonts w:cs="Times"/>
          <w:noProof/>
          <w:szCs w:val="24"/>
        </w:rPr>
        <w:tab/>
        <w:t xml:space="preserve">Pizzi, A. Natural Phenolic Adhesives I: Tannin. In </w:t>
      </w:r>
      <w:r w:rsidRPr="00FF6389">
        <w:rPr>
          <w:rFonts w:cs="Times"/>
          <w:i/>
          <w:iCs/>
          <w:noProof/>
          <w:szCs w:val="24"/>
        </w:rPr>
        <w:t>Handbook of Adhesive Technology, Revised and Expanded</w:t>
      </w:r>
      <w:r w:rsidRPr="00FF6389">
        <w:rPr>
          <w:rFonts w:cs="Times"/>
          <w:noProof/>
          <w:szCs w:val="24"/>
        </w:rPr>
        <w:t>; Pizzi, A., Mittal, K. L., Eds.; CRC Press, 2003; pp 567–581.</w:t>
      </w:r>
    </w:p>
    <w:p w14:paraId="5F7621BC"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(44) </w:t>
      </w:r>
      <w:r w:rsidRPr="00FF6389">
        <w:rPr>
          <w:rFonts w:cs="Times"/>
          <w:noProof/>
          <w:szCs w:val="24"/>
        </w:rPr>
        <w:tab/>
        <w:t xml:space="preserve">Faris, A. H.; Rahim, A. A.; Ibrahim, M. N. M.; Alkurdi, A. M.; Shah, I. Combination of Lignin Polyol-Tannin Adhesives and Polyethylenimine for the Preparation of Green Water-Resistant Adhesives. </w:t>
      </w:r>
      <w:r w:rsidRPr="00FF6389">
        <w:rPr>
          <w:rFonts w:cs="Times"/>
          <w:i/>
          <w:iCs/>
          <w:noProof/>
          <w:szCs w:val="24"/>
        </w:rPr>
        <w:t>J. Appl. Polym. Sci.</w:t>
      </w:r>
      <w:r w:rsidRPr="00FF6389">
        <w:rPr>
          <w:rFonts w:cs="Times"/>
          <w:noProof/>
          <w:szCs w:val="24"/>
        </w:rPr>
        <w:t xml:space="preserve"> </w:t>
      </w:r>
      <w:r w:rsidRPr="00FF6389">
        <w:rPr>
          <w:rFonts w:cs="Times"/>
          <w:b/>
          <w:bCs/>
          <w:noProof/>
          <w:szCs w:val="24"/>
        </w:rPr>
        <w:t>2016</w:t>
      </w:r>
      <w:r w:rsidRPr="00FF6389">
        <w:rPr>
          <w:rFonts w:cs="Times"/>
          <w:noProof/>
          <w:szCs w:val="24"/>
        </w:rPr>
        <w:t xml:space="preserve">, </w:t>
      </w:r>
      <w:r w:rsidRPr="00FF6389">
        <w:rPr>
          <w:rFonts w:cs="Times"/>
          <w:i/>
          <w:iCs/>
          <w:noProof/>
          <w:szCs w:val="24"/>
        </w:rPr>
        <w:t>133</w:t>
      </w:r>
      <w:r w:rsidRPr="00FF6389">
        <w:rPr>
          <w:rFonts w:cs="Times"/>
          <w:noProof/>
          <w:szCs w:val="24"/>
        </w:rPr>
        <w:t xml:space="preserve"> (43437), 1–6.</w:t>
      </w:r>
    </w:p>
    <w:p w14:paraId="51F92587"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(45) </w:t>
      </w:r>
      <w:r w:rsidRPr="00FF6389">
        <w:rPr>
          <w:rFonts w:cs="Times"/>
          <w:noProof/>
          <w:szCs w:val="24"/>
        </w:rPr>
        <w:tab/>
        <w:t xml:space="preserve">Lei, H.; Pizzi, A.; Du, G. Environmentally Friendly Mixed Tannin/lignin Wood Resins. </w:t>
      </w:r>
      <w:r w:rsidRPr="00FF6389">
        <w:rPr>
          <w:rFonts w:cs="Times"/>
          <w:i/>
          <w:iCs/>
          <w:noProof/>
          <w:szCs w:val="24"/>
        </w:rPr>
        <w:t>J. Appl. Polym. Sci.</w:t>
      </w:r>
      <w:r w:rsidRPr="00FF6389">
        <w:rPr>
          <w:rFonts w:cs="Times"/>
          <w:noProof/>
          <w:szCs w:val="24"/>
        </w:rPr>
        <w:t xml:space="preserve"> </w:t>
      </w:r>
      <w:r w:rsidRPr="00FF6389">
        <w:rPr>
          <w:rFonts w:cs="Times"/>
          <w:b/>
          <w:bCs/>
          <w:noProof/>
          <w:szCs w:val="24"/>
        </w:rPr>
        <w:t>2008</w:t>
      </w:r>
      <w:r w:rsidRPr="00FF6389">
        <w:rPr>
          <w:rFonts w:cs="Times"/>
          <w:noProof/>
          <w:szCs w:val="24"/>
        </w:rPr>
        <w:t xml:space="preserve">, </w:t>
      </w:r>
      <w:r w:rsidRPr="00FF6389">
        <w:rPr>
          <w:rFonts w:cs="Times"/>
          <w:i/>
          <w:iCs/>
          <w:noProof/>
          <w:szCs w:val="24"/>
        </w:rPr>
        <w:t>107</w:t>
      </w:r>
      <w:r w:rsidRPr="00FF6389">
        <w:rPr>
          <w:rFonts w:cs="Times"/>
          <w:noProof/>
          <w:szCs w:val="24"/>
        </w:rPr>
        <w:t xml:space="preserve"> (1), 203–209.</w:t>
      </w:r>
    </w:p>
    <w:p w14:paraId="5E218C06"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(46) </w:t>
      </w:r>
      <w:r w:rsidRPr="00FF6389">
        <w:rPr>
          <w:rFonts w:cs="Times"/>
          <w:noProof/>
          <w:szCs w:val="24"/>
        </w:rPr>
        <w:tab/>
        <w:t xml:space="preserve">Mansouri, H. R.; Navarrete, P.; Pizzi, A.; Tapin-Lingua, S.; Benjelloun-Mlayah, B.; Pasch, H.; Rigolet, S. Synthetic-Resin-Free Wood Panel Adhesives from Mixed Low Molecular Mass Lignin and Tannin. </w:t>
      </w:r>
      <w:r w:rsidRPr="00FF6389">
        <w:rPr>
          <w:rFonts w:cs="Times"/>
          <w:i/>
          <w:iCs/>
          <w:noProof/>
          <w:szCs w:val="24"/>
        </w:rPr>
        <w:t>Eur. J. Wood Wood Prod.</w:t>
      </w:r>
      <w:r w:rsidRPr="00FF6389">
        <w:rPr>
          <w:rFonts w:cs="Times"/>
          <w:noProof/>
          <w:szCs w:val="24"/>
        </w:rPr>
        <w:t xml:space="preserve"> </w:t>
      </w:r>
      <w:r w:rsidRPr="00FF6389">
        <w:rPr>
          <w:rFonts w:cs="Times"/>
          <w:b/>
          <w:bCs/>
          <w:noProof/>
          <w:szCs w:val="24"/>
        </w:rPr>
        <w:t>2011</w:t>
      </w:r>
      <w:r w:rsidRPr="00FF6389">
        <w:rPr>
          <w:rFonts w:cs="Times"/>
          <w:noProof/>
          <w:szCs w:val="24"/>
        </w:rPr>
        <w:t xml:space="preserve">, </w:t>
      </w:r>
      <w:r w:rsidRPr="00FF6389">
        <w:rPr>
          <w:rFonts w:cs="Times"/>
          <w:i/>
          <w:iCs/>
          <w:noProof/>
          <w:szCs w:val="24"/>
        </w:rPr>
        <w:t>69</w:t>
      </w:r>
      <w:r w:rsidRPr="00FF6389">
        <w:rPr>
          <w:rFonts w:cs="Times"/>
          <w:noProof/>
          <w:szCs w:val="24"/>
        </w:rPr>
        <w:t xml:space="preserve"> (2), 221–229.</w:t>
      </w:r>
    </w:p>
    <w:p w14:paraId="4805B62B"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(47) </w:t>
      </w:r>
      <w:r w:rsidRPr="00FF6389">
        <w:rPr>
          <w:rFonts w:cs="Times"/>
          <w:noProof/>
          <w:szCs w:val="24"/>
        </w:rPr>
        <w:tab/>
        <w:t xml:space="preserve">Chupin, L.; Charrier, B.; Pizzi, A.; Perdomo, A.; Charrier-El Bouhtoury, F. Study of Thermal Durability Properties of Tannin–lignosulfonate Adhesives. </w:t>
      </w:r>
      <w:r w:rsidRPr="00FF6389">
        <w:rPr>
          <w:rFonts w:cs="Times"/>
          <w:i/>
          <w:iCs/>
          <w:noProof/>
          <w:szCs w:val="24"/>
        </w:rPr>
        <w:t xml:space="preserve">J. Therm. </w:t>
      </w:r>
      <w:r w:rsidRPr="00FF6389">
        <w:rPr>
          <w:rFonts w:cs="Times"/>
          <w:i/>
          <w:iCs/>
          <w:noProof/>
          <w:szCs w:val="24"/>
        </w:rPr>
        <w:lastRenderedPageBreak/>
        <w:t>Anal. Calorim.</w:t>
      </w:r>
      <w:r w:rsidRPr="00FF6389">
        <w:rPr>
          <w:rFonts w:cs="Times"/>
          <w:noProof/>
          <w:szCs w:val="24"/>
        </w:rPr>
        <w:t xml:space="preserve"> </w:t>
      </w:r>
      <w:r w:rsidRPr="00FF6389">
        <w:rPr>
          <w:rFonts w:cs="Times"/>
          <w:b/>
          <w:bCs/>
          <w:noProof/>
          <w:szCs w:val="24"/>
        </w:rPr>
        <w:t>2015</w:t>
      </w:r>
      <w:r w:rsidRPr="00FF6389">
        <w:rPr>
          <w:rFonts w:cs="Times"/>
          <w:noProof/>
          <w:szCs w:val="24"/>
        </w:rPr>
        <w:t xml:space="preserve">, </w:t>
      </w:r>
      <w:r w:rsidRPr="00FF6389">
        <w:rPr>
          <w:rFonts w:cs="Times"/>
          <w:i/>
          <w:iCs/>
          <w:noProof/>
          <w:szCs w:val="24"/>
        </w:rPr>
        <w:t>119</w:t>
      </w:r>
      <w:r w:rsidRPr="00FF6389">
        <w:rPr>
          <w:rFonts w:cs="Times"/>
          <w:noProof/>
          <w:szCs w:val="24"/>
        </w:rPr>
        <w:t xml:space="preserve"> (3), 1577–1585.</w:t>
      </w:r>
    </w:p>
    <w:p w14:paraId="1E2A705B"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(48) </w:t>
      </w:r>
      <w:r w:rsidRPr="00FF6389">
        <w:rPr>
          <w:rFonts w:cs="Times"/>
          <w:noProof/>
          <w:szCs w:val="24"/>
        </w:rPr>
        <w:tab/>
        <w:t xml:space="preserve">de Hoyos-Martínez, P. L.; Robles, E.; Khoukh, A.; Charrier-El Bouhtoury, F.; Labidi, J. Formulation of Multifunctional Materials Based on the Reaction of Glyoxalated Lignins and a Nanoclay/Nanosilicate. </w:t>
      </w:r>
      <w:r w:rsidRPr="00FF6389">
        <w:rPr>
          <w:rFonts w:cs="Times"/>
          <w:i/>
          <w:iCs/>
          <w:noProof/>
          <w:szCs w:val="24"/>
        </w:rPr>
        <w:t>Biomacromolecules</w:t>
      </w:r>
      <w:r w:rsidRPr="00FF6389">
        <w:rPr>
          <w:rFonts w:cs="Times"/>
          <w:noProof/>
          <w:szCs w:val="24"/>
        </w:rPr>
        <w:t xml:space="preserve"> </w:t>
      </w:r>
      <w:r w:rsidRPr="00FF6389">
        <w:rPr>
          <w:rFonts w:cs="Times"/>
          <w:b/>
          <w:bCs/>
          <w:noProof/>
          <w:szCs w:val="24"/>
        </w:rPr>
        <w:t>2019</w:t>
      </w:r>
      <w:r w:rsidRPr="00FF6389">
        <w:rPr>
          <w:rFonts w:cs="Times"/>
          <w:noProof/>
          <w:szCs w:val="24"/>
        </w:rPr>
        <w:t xml:space="preserve">, </w:t>
      </w:r>
      <w:r w:rsidRPr="00FF6389">
        <w:rPr>
          <w:rFonts w:cs="Times"/>
          <w:i/>
          <w:iCs/>
          <w:noProof/>
          <w:szCs w:val="24"/>
        </w:rPr>
        <w:t>20</w:t>
      </w:r>
      <w:r w:rsidRPr="00FF6389">
        <w:rPr>
          <w:rFonts w:cs="Times"/>
          <w:noProof/>
          <w:szCs w:val="24"/>
        </w:rPr>
        <w:t xml:space="preserve"> (9), 3535–3546.</w:t>
      </w:r>
    </w:p>
    <w:p w14:paraId="5D2519A4"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(49) </w:t>
      </w:r>
      <w:r w:rsidRPr="00FF6389">
        <w:rPr>
          <w:rFonts w:cs="Times"/>
          <w:noProof/>
          <w:szCs w:val="24"/>
        </w:rPr>
        <w:tab/>
        <w:t xml:space="preserve">Yazaki, Y.; Hillis, W. E. Molecular Size Distribution of Radiate Pine Bark Extracts and Its Effect on Properties. </w:t>
      </w:r>
      <w:r w:rsidRPr="00FF6389">
        <w:rPr>
          <w:rFonts w:cs="Times"/>
          <w:i/>
          <w:iCs/>
          <w:noProof/>
          <w:szCs w:val="24"/>
        </w:rPr>
        <w:t>Holtzforschung</w:t>
      </w:r>
      <w:r w:rsidRPr="00FF6389">
        <w:rPr>
          <w:rFonts w:cs="Times"/>
          <w:noProof/>
          <w:szCs w:val="24"/>
        </w:rPr>
        <w:t xml:space="preserve"> </w:t>
      </w:r>
      <w:r w:rsidRPr="00FF6389">
        <w:rPr>
          <w:rFonts w:cs="Times"/>
          <w:b/>
          <w:bCs/>
          <w:noProof/>
          <w:szCs w:val="24"/>
        </w:rPr>
        <w:t>1998</w:t>
      </w:r>
      <w:r w:rsidRPr="00FF6389">
        <w:rPr>
          <w:rFonts w:cs="Times"/>
          <w:noProof/>
          <w:szCs w:val="24"/>
        </w:rPr>
        <w:t xml:space="preserve">, </w:t>
      </w:r>
      <w:r w:rsidRPr="00FF6389">
        <w:rPr>
          <w:rFonts w:cs="Times"/>
          <w:i/>
          <w:iCs/>
          <w:noProof/>
          <w:szCs w:val="24"/>
        </w:rPr>
        <w:t>34</w:t>
      </w:r>
      <w:r w:rsidRPr="00FF6389">
        <w:rPr>
          <w:rFonts w:cs="Times"/>
          <w:noProof/>
          <w:szCs w:val="24"/>
        </w:rPr>
        <w:t>, 125–130.</w:t>
      </w:r>
    </w:p>
    <w:p w14:paraId="73558676"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(50) </w:t>
      </w:r>
      <w:r w:rsidRPr="00FF6389">
        <w:rPr>
          <w:rFonts w:cs="Times"/>
          <w:noProof/>
          <w:szCs w:val="24"/>
        </w:rPr>
        <w:tab/>
        <w:t xml:space="preserve">Shahid, S. A.; Ali, M.; Zafar, Z. I. Characterization of Phenol-Formaldehyde Resins Modified with Crude Bio-Oil Prepared from Ziziphus Mauritiana Endocarps. </w:t>
      </w:r>
      <w:r w:rsidRPr="00FF6389">
        <w:rPr>
          <w:rFonts w:cs="Times"/>
          <w:i/>
          <w:iCs/>
          <w:noProof/>
          <w:szCs w:val="24"/>
        </w:rPr>
        <w:t>BioResources</w:t>
      </w:r>
      <w:r w:rsidRPr="00FF6389">
        <w:rPr>
          <w:rFonts w:cs="Times"/>
          <w:noProof/>
          <w:szCs w:val="24"/>
        </w:rPr>
        <w:t xml:space="preserve"> </w:t>
      </w:r>
      <w:r w:rsidRPr="00FF6389">
        <w:rPr>
          <w:rFonts w:cs="Times"/>
          <w:b/>
          <w:bCs/>
          <w:noProof/>
          <w:szCs w:val="24"/>
        </w:rPr>
        <w:t>2014</w:t>
      </w:r>
      <w:r w:rsidRPr="00FF6389">
        <w:rPr>
          <w:rFonts w:cs="Times"/>
          <w:noProof/>
          <w:szCs w:val="24"/>
        </w:rPr>
        <w:t xml:space="preserve">, </w:t>
      </w:r>
      <w:r w:rsidRPr="00FF6389">
        <w:rPr>
          <w:rFonts w:cs="Times"/>
          <w:i/>
          <w:iCs/>
          <w:noProof/>
          <w:szCs w:val="24"/>
        </w:rPr>
        <w:t>9</w:t>
      </w:r>
      <w:r w:rsidRPr="00FF6389">
        <w:rPr>
          <w:rFonts w:cs="Times"/>
          <w:noProof/>
          <w:szCs w:val="24"/>
        </w:rPr>
        <w:t xml:space="preserve"> (3), 5362–5384.</w:t>
      </w:r>
    </w:p>
    <w:p w14:paraId="33144D8F"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(51) </w:t>
      </w:r>
      <w:r w:rsidRPr="00FF6389">
        <w:rPr>
          <w:rFonts w:cs="Times"/>
          <w:noProof/>
          <w:szCs w:val="24"/>
        </w:rPr>
        <w:tab/>
        <w:t xml:space="preserve">Çetin, N. S.; Özmen, N. Studies on Lignin-Based Adhesives for Particleboard Panels. </w:t>
      </w:r>
      <w:r w:rsidRPr="00FF6389">
        <w:rPr>
          <w:rFonts w:cs="Times"/>
          <w:i/>
          <w:iCs/>
          <w:noProof/>
          <w:szCs w:val="24"/>
        </w:rPr>
        <w:t>Turkish J. Agric. Technol.</w:t>
      </w:r>
      <w:r w:rsidRPr="00FF6389">
        <w:rPr>
          <w:rFonts w:cs="Times"/>
          <w:noProof/>
          <w:szCs w:val="24"/>
        </w:rPr>
        <w:t xml:space="preserve"> </w:t>
      </w:r>
      <w:r w:rsidRPr="00FF6389">
        <w:rPr>
          <w:rFonts w:cs="Times"/>
          <w:b/>
          <w:bCs/>
          <w:noProof/>
          <w:szCs w:val="24"/>
        </w:rPr>
        <w:t>2003</w:t>
      </w:r>
      <w:r w:rsidRPr="00FF6389">
        <w:rPr>
          <w:rFonts w:cs="Times"/>
          <w:noProof/>
          <w:szCs w:val="24"/>
        </w:rPr>
        <w:t xml:space="preserve">, </w:t>
      </w:r>
      <w:r w:rsidRPr="00FF6389">
        <w:rPr>
          <w:rFonts w:cs="Times"/>
          <w:i/>
          <w:iCs/>
          <w:noProof/>
          <w:szCs w:val="24"/>
        </w:rPr>
        <w:t>27</w:t>
      </w:r>
      <w:r w:rsidRPr="00FF6389">
        <w:rPr>
          <w:rFonts w:cs="Times"/>
          <w:noProof/>
          <w:szCs w:val="24"/>
        </w:rPr>
        <w:t>, 183–189.</w:t>
      </w:r>
    </w:p>
    <w:p w14:paraId="2CF047FC"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(52) </w:t>
      </w:r>
      <w:r w:rsidRPr="00FF6389">
        <w:rPr>
          <w:rFonts w:cs="Times"/>
          <w:noProof/>
          <w:szCs w:val="24"/>
        </w:rPr>
        <w:tab/>
        <w:t xml:space="preserve">Younesi-Kordkheili, H. Ionic Liquid Modified Lignin-Phenol-Glyoxal Resin: A Green Alternative Resin for Production of Particleboards. </w:t>
      </w:r>
      <w:r w:rsidRPr="00FF6389">
        <w:rPr>
          <w:rFonts w:cs="Times"/>
          <w:i/>
          <w:iCs/>
          <w:noProof/>
          <w:szCs w:val="24"/>
        </w:rPr>
        <w:t>J. Adhes.</w:t>
      </w:r>
      <w:r w:rsidRPr="00FF6389">
        <w:rPr>
          <w:rFonts w:cs="Times"/>
          <w:noProof/>
          <w:szCs w:val="24"/>
        </w:rPr>
        <w:t xml:space="preserve"> </w:t>
      </w:r>
      <w:r w:rsidRPr="00FF6389">
        <w:rPr>
          <w:rFonts w:cs="Times"/>
          <w:b/>
          <w:bCs/>
          <w:noProof/>
          <w:szCs w:val="24"/>
        </w:rPr>
        <w:t>2018</w:t>
      </w:r>
      <w:r w:rsidRPr="00FF6389">
        <w:rPr>
          <w:rFonts w:cs="Times"/>
          <w:noProof/>
          <w:szCs w:val="24"/>
        </w:rPr>
        <w:t>, 1–13.</w:t>
      </w:r>
    </w:p>
    <w:p w14:paraId="19064AA4"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(53) </w:t>
      </w:r>
      <w:r w:rsidRPr="00FF6389">
        <w:rPr>
          <w:rFonts w:cs="Times"/>
          <w:noProof/>
          <w:szCs w:val="24"/>
        </w:rPr>
        <w:tab/>
        <w:t xml:space="preserve">Lin, R.; Sun, J.; Yue, C.; Wang, X.; Tu, D.; Gao, Z. Study on Preparation and Properties of Phenol-Formaldehyde-Chinese Fir Liquefaction Copolymer Resin. </w:t>
      </w:r>
      <w:r w:rsidRPr="00FF6389">
        <w:rPr>
          <w:rFonts w:cs="Times"/>
          <w:i/>
          <w:iCs/>
          <w:noProof/>
          <w:szCs w:val="24"/>
        </w:rPr>
        <w:t>Maderas. Cienc. y Tecnol.</w:t>
      </w:r>
      <w:r w:rsidRPr="00FF6389">
        <w:rPr>
          <w:rFonts w:cs="Times"/>
          <w:noProof/>
          <w:szCs w:val="24"/>
        </w:rPr>
        <w:t xml:space="preserve"> </w:t>
      </w:r>
      <w:r w:rsidRPr="00FF6389">
        <w:rPr>
          <w:rFonts w:cs="Times"/>
          <w:b/>
          <w:bCs/>
          <w:noProof/>
          <w:szCs w:val="24"/>
        </w:rPr>
        <w:t>2014</w:t>
      </w:r>
      <w:r w:rsidRPr="00FF6389">
        <w:rPr>
          <w:rFonts w:cs="Times"/>
          <w:noProof/>
          <w:szCs w:val="24"/>
        </w:rPr>
        <w:t xml:space="preserve">, </w:t>
      </w:r>
      <w:r w:rsidRPr="00FF6389">
        <w:rPr>
          <w:rFonts w:cs="Times"/>
          <w:i/>
          <w:iCs/>
          <w:noProof/>
          <w:szCs w:val="24"/>
        </w:rPr>
        <w:t>16</w:t>
      </w:r>
      <w:r w:rsidRPr="00FF6389">
        <w:rPr>
          <w:rFonts w:cs="Times"/>
          <w:noProof/>
          <w:szCs w:val="24"/>
        </w:rPr>
        <w:t xml:space="preserve"> (2), 159–174.</w:t>
      </w:r>
    </w:p>
    <w:p w14:paraId="216A42FB"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(54) </w:t>
      </w:r>
      <w:r w:rsidRPr="00FF6389">
        <w:rPr>
          <w:rFonts w:cs="Times"/>
          <w:noProof/>
          <w:szCs w:val="24"/>
        </w:rPr>
        <w:tab/>
        <w:t xml:space="preserve">Chaouch, M.; Diouf, P. N.; Laghdir, A.; Yin, S. Bio-Oil from Whole-Tree Feedstock in Resol-Type Phenolic Resins. </w:t>
      </w:r>
      <w:r w:rsidRPr="00FF6389">
        <w:rPr>
          <w:rFonts w:cs="Times"/>
          <w:i/>
          <w:iCs/>
          <w:noProof/>
          <w:szCs w:val="24"/>
        </w:rPr>
        <w:t>J. Appl. Polym. Sci.</w:t>
      </w:r>
      <w:r w:rsidRPr="00FF6389">
        <w:rPr>
          <w:rFonts w:cs="Times"/>
          <w:noProof/>
          <w:szCs w:val="24"/>
        </w:rPr>
        <w:t xml:space="preserve"> </w:t>
      </w:r>
      <w:r w:rsidRPr="00FF6389">
        <w:rPr>
          <w:rFonts w:cs="Times"/>
          <w:b/>
          <w:bCs/>
          <w:noProof/>
          <w:szCs w:val="24"/>
        </w:rPr>
        <w:t>2014</w:t>
      </w:r>
      <w:r w:rsidRPr="00FF6389">
        <w:rPr>
          <w:rFonts w:cs="Times"/>
          <w:noProof/>
          <w:szCs w:val="24"/>
        </w:rPr>
        <w:t xml:space="preserve">, </w:t>
      </w:r>
      <w:r w:rsidRPr="00FF6389">
        <w:rPr>
          <w:rFonts w:cs="Times"/>
          <w:i/>
          <w:iCs/>
          <w:noProof/>
          <w:szCs w:val="24"/>
        </w:rPr>
        <w:t>131</w:t>
      </w:r>
      <w:r w:rsidRPr="00FF6389">
        <w:rPr>
          <w:rFonts w:cs="Times"/>
          <w:noProof/>
          <w:szCs w:val="24"/>
        </w:rPr>
        <w:t xml:space="preserve"> (40014), 1–6.</w:t>
      </w:r>
    </w:p>
    <w:p w14:paraId="04986304"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(55) </w:t>
      </w:r>
      <w:r w:rsidRPr="00FF6389">
        <w:rPr>
          <w:rFonts w:cs="Times"/>
          <w:noProof/>
          <w:szCs w:val="24"/>
        </w:rPr>
        <w:tab/>
        <w:t xml:space="preserve">Siddiqui, H.; Mahmood, N.; Yuan, Z.; Crapulli, F.; Dessbesell, L.; Rizkalla, A.; Ray, A.; Xu, C. (Charles). Sustainable Bio-Based Phenol-Formaldehyde Resoles </w:t>
      </w:r>
      <w:r w:rsidRPr="00FF6389">
        <w:rPr>
          <w:rFonts w:cs="Times"/>
          <w:noProof/>
          <w:szCs w:val="24"/>
        </w:rPr>
        <w:lastRenderedPageBreak/>
        <w:t xml:space="preserve">Using Hydrolytically Depolymerized Kraft Lignin. </w:t>
      </w:r>
      <w:r w:rsidRPr="00FF6389">
        <w:rPr>
          <w:rFonts w:cs="Times"/>
          <w:i/>
          <w:iCs/>
          <w:noProof/>
          <w:szCs w:val="24"/>
        </w:rPr>
        <w:t>Molecules</w:t>
      </w:r>
      <w:r w:rsidRPr="00FF6389">
        <w:rPr>
          <w:rFonts w:cs="Times"/>
          <w:noProof/>
          <w:szCs w:val="24"/>
        </w:rPr>
        <w:t xml:space="preserve"> </w:t>
      </w:r>
      <w:r w:rsidRPr="00FF6389">
        <w:rPr>
          <w:rFonts w:cs="Times"/>
          <w:b/>
          <w:bCs/>
          <w:noProof/>
          <w:szCs w:val="24"/>
        </w:rPr>
        <w:t>2017</w:t>
      </w:r>
      <w:r w:rsidRPr="00FF6389">
        <w:rPr>
          <w:rFonts w:cs="Times"/>
          <w:noProof/>
          <w:szCs w:val="24"/>
        </w:rPr>
        <w:t xml:space="preserve">, </w:t>
      </w:r>
      <w:r w:rsidRPr="00FF6389">
        <w:rPr>
          <w:rFonts w:cs="Times"/>
          <w:i/>
          <w:iCs/>
          <w:noProof/>
          <w:szCs w:val="24"/>
        </w:rPr>
        <w:t>22</w:t>
      </w:r>
      <w:r w:rsidRPr="00FF6389">
        <w:rPr>
          <w:rFonts w:cs="Times"/>
          <w:noProof/>
          <w:szCs w:val="24"/>
        </w:rPr>
        <w:t xml:space="preserve"> (11), 1850.</w:t>
      </w:r>
    </w:p>
    <w:p w14:paraId="651B3D09"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(56) </w:t>
      </w:r>
      <w:r w:rsidRPr="00FF6389">
        <w:rPr>
          <w:rFonts w:cs="Times"/>
          <w:noProof/>
          <w:szCs w:val="24"/>
        </w:rPr>
        <w:tab/>
        <w:t xml:space="preserve">Ammar, M.; Khiari, R.; Belgacem, M. N.; Elaloui, E. Thermal Characterization and Comparisons of Lignin-Formaldehyde and Lignin-Glyoxal Adhesives. </w:t>
      </w:r>
      <w:r w:rsidRPr="00FF6389">
        <w:rPr>
          <w:rFonts w:cs="Times"/>
          <w:i/>
          <w:iCs/>
          <w:noProof/>
          <w:szCs w:val="24"/>
        </w:rPr>
        <w:t>Mediterr. J. Chem.</w:t>
      </w:r>
      <w:r w:rsidRPr="00FF6389">
        <w:rPr>
          <w:rFonts w:cs="Times"/>
          <w:noProof/>
          <w:szCs w:val="24"/>
        </w:rPr>
        <w:t xml:space="preserve"> </w:t>
      </w:r>
      <w:r w:rsidRPr="00FF6389">
        <w:rPr>
          <w:rFonts w:cs="Times"/>
          <w:b/>
          <w:bCs/>
          <w:noProof/>
          <w:szCs w:val="24"/>
        </w:rPr>
        <w:t>2014</w:t>
      </w:r>
      <w:r w:rsidRPr="00FF6389">
        <w:rPr>
          <w:rFonts w:cs="Times"/>
          <w:noProof/>
          <w:szCs w:val="24"/>
        </w:rPr>
        <w:t xml:space="preserve">, </w:t>
      </w:r>
      <w:r w:rsidRPr="00FF6389">
        <w:rPr>
          <w:rFonts w:cs="Times"/>
          <w:i/>
          <w:iCs/>
          <w:noProof/>
          <w:szCs w:val="24"/>
        </w:rPr>
        <w:t>2</w:t>
      </w:r>
      <w:r w:rsidRPr="00FF6389">
        <w:rPr>
          <w:rFonts w:cs="Times"/>
          <w:noProof/>
          <w:szCs w:val="24"/>
        </w:rPr>
        <w:t xml:space="preserve"> (6), 731–737.</w:t>
      </w:r>
    </w:p>
    <w:p w14:paraId="61015F07"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(57) </w:t>
      </w:r>
      <w:r w:rsidRPr="00FF6389">
        <w:rPr>
          <w:rFonts w:cs="Times"/>
          <w:noProof/>
          <w:szCs w:val="24"/>
        </w:rPr>
        <w:tab/>
        <w:t xml:space="preserve">De Meijer, M.; Thurich, K.; Militz, H. Comparative Study on Penetration Characteristics of Modern Wood Coatings. </w:t>
      </w:r>
      <w:r w:rsidRPr="00FF6389">
        <w:rPr>
          <w:rFonts w:cs="Times"/>
          <w:i/>
          <w:iCs/>
          <w:noProof/>
          <w:szCs w:val="24"/>
        </w:rPr>
        <w:t>Wood Sci. Technol.</w:t>
      </w:r>
      <w:r w:rsidRPr="00FF6389">
        <w:rPr>
          <w:rFonts w:cs="Times"/>
          <w:noProof/>
          <w:szCs w:val="24"/>
        </w:rPr>
        <w:t xml:space="preserve"> </w:t>
      </w:r>
      <w:r w:rsidRPr="00FF6389">
        <w:rPr>
          <w:rFonts w:cs="Times"/>
          <w:b/>
          <w:bCs/>
          <w:noProof/>
          <w:szCs w:val="24"/>
        </w:rPr>
        <w:t>1998</w:t>
      </w:r>
      <w:r w:rsidRPr="00FF6389">
        <w:rPr>
          <w:rFonts w:cs="Times"/>
          <w:noProof/>
          <w:szCs w:val="24"/>
        </w:rPr>
        <w:t xml:space="preserve">, </w:t>
      </w:r>
      <w:r w:rsidRPr="00FF6389">
        <w:rPr>
          <w:rFonts w:cs="Times"/>
          <w:i/>
          <w:iCs/>
          <w:noProof/>
          <w:szCs w:val="24"/>
        </w:rPr>
        <w:t>32</w:t>
      </w:r>
      <w:r w:rsidRPr="00FF6389">
        <w:rPr>
          <w:rFonts w:cs="Times"/>
          <w:noProof/>
          <w:szCs w:val="24"/>
        </w:rPr>
        <w:t xml:space="preserve"> (5), 347–365.</w:t>
      </w:r>
    </w:p>
    <w:p w14:paraId="0CA78ACE"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(58) </w:t>
      </w:r>
      <w:r w:rsidRPr="00FF6389">
        <w:rPr>
          <w:rFonts w:cs="Times"/>
          <w:noProof/>
          <w:szCs w:val="24"/>
        </w:rPr>
        <w:tab/>
        <w:t xml:space="preserve">Pizzi, A. Wood Products and Green Chemistry. </w:t>
      </w:r>
      <w:r w:rsidRPr="00FF6389">
        <w:rPr>
          <w:rFonts w:cs="Times"/>
          <w:i/>
          <w:iCs/>
          <w:noProof/>
          <w:szCs w:val="24"/>
        </w:rPr>
        <w:t>Ann. For. Sci. Springer Verlag</w:t>
      </w:r>
      <w:r w:rsidRPr="00FF6389">
        <w:rPr>
          <w:rFonts w:cs="Times"/>
          <w:noProof/>
          <w:szCs w:val="24"/>
        </w:rPr>
        <w:t xml:space="preserve"> </w:t>
      </w:r>
      <w:r w:rsidRPr="00FF6389">
        <w:rPr>
          <w:rFonts w:cs="Times"/>
          <w:b/>
          <w:bCs/>
          <w:noProof/>
          <w:szCs w:val="24"/>
        </w:rPr>
        <w:t>2016</w:t>
      </w:r>
      <w:r w:rsidRPr="00FF6389">
        <w:rPr>
          <w:rFonts w:cs="Times"/>
          <w:noProof/>
          <w:szCs w:val="24"/>
        </w:rPr>
        <w:t xml:space="preserve">, </w:t>
      </w:r>
      <w:r w:rsidRPr="00FF6389">
        <w:rPr>
          <w:rFonts w:cs="Times"/>
          <w:i/>
          <w:iCs/>
          <w:noProof/>
          <w:szCs w:val="24"/>
        </w:rPr>
        <w:t>73</w:t>
      </w:r>
      <w:r w:rsidRPr="00FF6389">
        <w:rPr>
          <w:rFonts w:cs="Times"/>
          <w:noProof/>
          <w:szCs w:val="24"/>
        </w:rPr>
        <w:t xml:space="preserve"> (1), 185–23.</w:t>
      </w:r>
    </w:p>
    <w:p w14:paraId="1284AC99"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(59) </w:t>
      </w:r>
      <w:r w:rsidRPr="00FF6389">
        <w:rPr>
          <w:rFonts w:cs="Times"/>
          <w:noProof/>
          <w:szCs w:val="24"/>
        </w:rPr>
        <w:tab/>
        <w:t xml:space="preserve">Karunanayake, L.; Sumathirathne, L. Synthesis of Novel Porous Tannin-Phenol-Formaldehyde Cation Exchange Resin from Terminalia Arjuna (Kumbuk). </w:t>
      </w:r>
      <w:r w:rsidRPr="00FF6389">
        <w:rPr>
          <w:rFonts w:cs="Times"/>
          <w:i/>
          <w:iCs/>
          <w:noProof/>
          <w:szCs w:val="24"/>
        </w:rPr>
        <w:t>J. Natl. Sci. Found. Sri Lanka</w:t>
      </w:r>
      <w:r w:rsidRPr="00FF6389">
        <w:rPr>
          <w:rFonts w:cs="Times"/>
          <w:noProof/>
          <w:szCs w:val="24"/>
        </w:rPr>
        <w:t xml:space="preserve"> </w:t>
      </w:r>
      <w:r w:rsidRPr="00FF6389">
        <w:rPr>
          <w:rFonts w:cs="Times"/>
          <w:b/>
          <w:bCs/>
          <w:noProof/>
          <w:szCs w:val="24"/>
        </w:rPr>
        <w:t>2017</w:t>
      </w:r>
      <w:r w:rsidRPr="00FF6389">
        <w:rPr>
          <w:rFonts w:cs="Times"/>
          <w:noProof/>
          <w:szCs w:val="24"/>
        </w:rPr>
        <w:t xml:space="preserve">, </w:t>
      </w:r>
      <w:r w:rsidRPr="00FF6389">
        <w:rPr>
          <w:rFonts w:cs="Times"/>
          <w:i/>
          <w:iCs/>
          <w:noProof/>
          <w:szCs w:val="24"/>
        </w:rPr>
        <w:t>45</w:t>
      </w:r>
      <w:r w:rsidRPr="00FF6389">
        <w:rPr>
          <w:rFonts w:cs="Times"/>
          <w:noProof/>
          <w:szCs w:val="24"/>
        </w:rPr>
        <w:t xml:space="preserve"> (3), 219–227.</w:t>
      </w:r>
    </w:p>
    <w:p w14:paraId="06DE200F"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(60) </w:t>
      </w:r>
      <w:r w:rsidRPr="00FF6389">
        <w:rPr>
          <w:rFonts w:cs="Times"/>
          <w:noProof/>
          <w:szCs w:val="24"/>
        </w:rPr>
        <w:tab/>
        <w:t xml:space="preserve">Brebu, M.; Vasile, C. Thermal Degradation of Lignin—a Review. </w:t>
      </w:r>
      <w:r w:rsidRPr="00FF6389">
        <w:rPr>
          <w:rFonts w:cs="Times"/>
          <w:i/>
          <w:iCs/>
          <w:noProof/>
          <w:szCs w:val="24"/>
        </w:rPr>
        <w:t>Cellul. Chem. Technol.</w:t>
      </w:r>
      <w:r w:rsidRPr="00FF6389">
        <w:rPr>
          <w:rFonts w:cs="Times"/>
          <w:noProof/>
          <w:szCs w:val="24"/>
        </w:rPr>
        <w:t xml:space="preserve"> </w:t>
      </w:r>
      <w:r w:rsidRPr="00FF6389">
        <w:rPr>
          <w:rFonts w:cs="Times"/>
          <w:b/>
          <w:bCs/>
          <w:noProof/>
          <w:szCs w:val="24"/>
        </w:rPr>
        <w:t>2010</w:t>
      </w:r>
      <w:r w:rsidRPr="00FF6389">
        <w:rPr>
          <w:rFonts w:cs="Times"/>
          <w:noProof/>
          <w:szCs w:val="24"/>
        </w:rPr>
        <w:t xml:space="preserve">, </w:t>
      </w:r>
      <w:r w:rsidRPr="00FF6389">
        <w:rPr>
          <w:rFonts w:cs="Times"/>
          <w:i/>
          <w:iCs/>
          <w:noProof/>
          <w:szCs w:val="24"/>
        </w:rPr>
        <w:t>44</w:t>
      </w:r>
      <w:r w:rsidRPr="00FF6389">
        <w:rPr>
          <w:rFonts w:cs="Times"/>
          <w:noProof/>
          <w:szCs w:val="24"/>
        </w:rPr>
        <w:t xml:space="preserve"> (9), 353.</w:t>
      </w:r>
    </w:p>
    <w:p w14:paraId="128094F3"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(61) </w:t>
      </w:r>
      <w:r w:rsidRPr="00FF6389">
        <w:rPr>
          <w:rFonts w:cs="Times"/>
          <w:noProof/>
          <w:szCs w:val="24"/>
        </w:rPr>
        <w:tab/>
        <w:t xml:space="preserve">Liu, Y.; Wang, J.-S.; Deng, C.-L.; Wang, D.-Y.; Song, Y.-P.; Wang, Y.-Z. The Synergistic Flame-Retardant Effect of O-MMT on the Intumescent Flame-Retardant PP/CA/APP Systems. </w:t>
      </w:r>
      <w:r w:rsidRPr="00FF6389">
        <w:rPr>
          <w:rFonts w:cs="Times"/>
          <w:i/>
          <w:iCs/>
          <w:noProof/>
          <w:szCs w:val="24"/>
        </w:rPr>
        <w:t>Polym. Adv. Technol.</w:t>
      </w:r>
      <w:r w:rsidRPr="00FF6389">
        <w:rPr>
          <w:rFonts w:cs="Times"/>
          <w:noProof/>
          <w:szCs w:val="24"/>
        </w:rPr>
        <w:t xml:space="preserve"> </w:t>
      </w:r>
      <w:r w:rsidRPr="00FF6389">
        <w:rPr>
          <w:rFonts w:cs="Times"/>
          <w:b/>
          <w:bCs/>
          <w:noProof/>
          <w:szCs w:val="24"/>
        </w:rPr>
        <w:t>2010</w:t>
      </w:r>
      <w:r w:rsidRPr="00FF6389">
        <w:rPr>
          <w:rFonts w:cs="Times"/>
          <w:noProof/>
          <w:szCs w:val="24"/>
        </w:rPr>
        <w:t xml:space="preserve">, </w:t>
      </w:r>
      <w:r w:rsidRPr="00FF6389">
        <w:rPr>
          <w:rFonts w:cs="Times"/>
          <w:i/>
          <w:iCs/>
          <w:noProof/>
          <w:szCs w:val="24"/>
        </w:rPr>
        <w:t>21</w:t>
      </w:r>
      <w:r w:rsidRPr="00FF6389">
        <w:rPr>
          <w:rFonts w:cs="Times"/>
          <w:noProof/>
          <w:szCs w:val="24"/>
        </w:rPr>
        <w:t xml:space="preserve"> (11), 789–796.</w:t>
      </w:r>
    </w:p>
    <w:p w14:paraId="69DEFC47"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(62) </w:t>
      </w:r>
      <w:r w:rsidRPr="00FF6389">
        <w:rPr>
          <w:rFonts w:cs="Times"/>
          <w:noProof/>
          <w:szCs w:val="24"/>
        </w:rPr>
        <w:tab/>
        <w:t xml:space="preserve">Rezakazemi, M.; Vatani, A.; Mohammadi, T. Synergistic Interactions between POSS and Fumed Silica and Their Effect on the Properties of Crosslinked PDMS Nanocomposite Membranes. </w:t>
      </w:r>
      <w:r w:rsidRPr="00FF6389">
        <w:rPr>
          <w:rFonts w:cs="Times"/>
          <w:i/>
          <w:iCs/>
          <w:noProof/>
          <w:szCs w:val="24"/>
        </w:rPr>
        <w:t>RSC Adv.</w:t>
      </w:r>
      <w:r w:rsidRPr="00FF6389">
        <w:rPr>
          <w:rFonts w:cs="Times"/>
          <w:noProof/>
          <w:szCs w:val="24"/>
        </w:rPr>
        <w:t xml:space="preserve"> </w:t>
      </w:r>
      <w:r w:rsidRPr="00FF6389">
        <w:rPr>
          <w:rFonts w:cs="Times"/>
          <w:b/>
          <w:bCs/>
          <w:noProof/>
          <w:szCs w:val="24"/>
        </w:rPr>
        <w:t>2015</w:t>
      </w:r>
      <w:r w:rsidRPr="00FF6389">
        <w:rPr>
          <w:rFonts w:cs="Times"/>
          <w:noProof/>
          <w:szCs w:val="24"/>
        </w:rPr>
        <w:t xml:space="preserve">, </w:t>
      </w:r>
      <w:r w:rsidRPr="00FF6389">
        <w:rPr>
          <w:rFonts w:cs="Times"/>
          <w:i/>
          <w:iCs/>
          <w:noProof/>
          <w:szCs w:val="24"/>
        </w:rPr>
        <w:t>5</w:t>
      </w:r>
      <w:r w:rsidRPr="00FF6389">
        <w:rPr>
          <w:rFonts w:cs="Times"/>
          <w:noProof/>
          <w:szCs w:val="24"/>
        </w:rPr>
        <w:t xml:space="preserve"> (100), 82460–82470.</w:t>
      </w:r>
    </w:p>
    <w:p w14:paraId="2A810D01"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(63) </w:t>
      </w:r>
      <w:r w:rsidRPr="00FF6389">
        <w:rPr>
          <w:rFonts w:cs="Times"/>
          <w:noProof/>
          <w:szCs w:val="24"/>
        </w:rPr>
        <w:tab/>
        <w:t xml:space="preserve">De Meijer, M. A Review of Interfacial Aspects in Wood Coatings: Wetting, Surface Energy, Substrate Penetration and Adhesion. In </w:t>
      </w:r>
      <w:r w:rsidRPr="00FF6389">
        <w:rPr>
          <w:rFonts w:cs="Times"/>
          <w:i/>
          <w:iCs/>
          <w:noProof/>
          <w:szCs w:val="24"/>
        </w:rPr>
        <w:t xml:space="preserve">COST E18 Final Seminar: </w:t>
      </w:r>
      <w:r w:rsidRPr="00FF6389">
        <w:rPr>
          <w:rFonts w:cs="Times"/>
          <w:i/>
          <w:iCs/>
          <w:noProof/>
          <w:szCs w:val="24"/>
        </w:rPr>
        <w:lastRenderedPageBreak/>
        <w:t>High performance wood coatings</w:t>
      </w:r>
      <w:r w:rsidRPr="00FF6389">
        <w:rPr>
          <w:rFonts w:cs="Times"/>
          <w:noProof/>
          <w:szCs w:val="24"/>
        </w:rPr>
        <w:t>; 2005; p 16.</w:t>
      </w:r>
    </w:p>
    <w:p w14:paraId="33DCB7B4"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(64) </w:t>
      </w:r>
      <w:r w:rsidRPr="00FF6389">
        <w:rPr>
          <w:rFonts w:cs="Times"/>
          <w:noProof/>
          <w:szCs w:val="24"/>
        </w:rPr>
        <w:tab/>
        <w:t xml:space="preserve">Kennedy, R. W. An Outlook for Basic Wood Anatomy Research . </w:t>
      </w:r>
      <w:r w:rsidRPr="00FF6389">
        <w:rPr>
          <w:rFonts w:cs="Times"/>
          <w:i/>
          <w:iCs/>
          <w:noProof/>
          <w:szCs w:val="24"/>
        </w:rPr>
        <w:t>Wood Fiber Sci.</w:t>
      </w:r>
      <w:r w:rsidRPr="00FF6389">
        <w:rPr>
          <w:rFonts w:cs="Times"/>
          <w:noProof/>
          <w:szCs w:val="24"/>
        </w:rPr>
        <w:t xml:space="preserve"> </w:t>
      </w:r>
      <w:r w:rsidRPr="00FF6389">
        <w:rPr>
          <w:rFonts w:cs="Times"/>
          <w:b/>
          <w:bCs/>
          <w:noProof/>
          <w:szCs w:val="24"/>
        </w:rPr>
        <w:t>2007</w:t>
      </w:r>
      <w:r w:rsidRPr="00FF6389">
        <w:rPr>
          <w:rFonts w:cs="Times"/>
          <w:noProof/>
          <w:szCs w:val="24"/>
        </w:rPr>
        <w:t xml:space="preserve">, </w:t>
      </w:r>
      <w:r w:rsidRPr="00FF6389">
        <w:rPr>
          <w:rFonts w:cs="Times"/>
          <w:i/>
          <w:iCs/>
          <w:noProof/>
          <w:szCs w:val="24"/>
        </w:rPr>
        <w:t>2</w:t>
      </w:r>
      <w:r w:rsidRPr="00FF6389">
        <w:rPr>
          <w:rFonts w:cs="Times"/>
          <w:noProof/>
          <w:szCs w:val="24"/>
        </w:rPr>
        <w:t xml:space="preserve"> (3), 182–187.</w:t>
      </w:r>
    </w:p>
    <w:p w14:paraId="35805426"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(65) </w:t>
      </w:r>
      <w:r w:rsidRPr="00FF6389">
        <w:rPr>
          <w:rFonts w:cs="Times"/>
          <w:noProof/>
          <w:szCs w:val="24"/>
        </w:rPr>
        <w:tab/>
        <w:t xml:space="preserve">dos Santos Viana, H. F.; Rodrigues, A. M.; Godina, R.; Matias, J. C. de O.; Nunes, L. J. R. Evaluation of the Physical, Chemical and Thermal Properties of Portuguese Maritime Pine Biomass. </w:t>
      </w:r>
      <w:r w:rsidRPr="00FF6389">
        <w:rPr>
          <w:rFonts w:cs="Times"/>
          <w:i/>
          <w:iCs/>
          <w:noProof/>
          <w:szCs w:val="24"/>
        </w:rPr>
        <w:t>Sustainability</w:t>
      </w:r>
      <w:r w:rsidRPr="00FF6389">
        <w:rPr>
          <w:rFonts w:cs="Times"/>
          <w:noProof/>
          <w:szCs w:val="24"/>
        </w:rPr>
        <w:t xml:space="preserve"> </w:t>
      </w:r>
      <w:r w:rsidRPr="00FF6389">
        <w:rPr>
          <w:rFonts w:cs="Times"/>
          <w:b/>
          <w:bCs/>
          <w:noProof/>
          <w:szCs w:val="24"/>
        </w:rPr>
        <w:t>2018</w:t>
      </w:r>
      <w:r w:rsidRPr="00FF6389">
        <w:rPr>
          <w:rFonts w:cs="Times"/>
          <w:noProof/>
          <w:szCs w:val="24"/>
        </w:rPr>
        <w:t xml:space="preserve">, </w:t>
      </w:r>
      <w:r w:rsidRPr="00FF6389">
        <w:rPr>
          <w:rFonts w:cs="Times"/>
          <w:i/>
          <w:iCs/>
          <w:noProof/>
          <w:szCs w:val="24"/>
        </w:rPr>
        <w:t>10</w:t>
      </w:r>
      <w:r w:rsidRPr="00FF6389">
        <w:rPr>
          <w:rFonts w:cs="Times"/>
          <w:noProof/>
          <w:szCs w:val="24"/>
        </w:rPr>
        <w:t xml:space="preserve"> (8), 1–15.</w:t>
      </w:r>
    </w:p>
    <w:p w14:paraId="172914E4"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(66) </w:t>
      </w:r>
      <w:r w:rsidRPr="00FF6389">
        <w:rPr>
          <w:rFonts w:cs="Times"/>
          <w:noProof/>
          <w:szCs w:val="24"/>
        </w:rPr>
        <w:tab/>
        <w:t xml:space="preserve">White, R. H. Effect of the Lignin Content and Extractives on the Higher Heating Value of Wood. </w:t>
      </w:r>
      <w:r w:rsidRPr="00FF6389">
        <w:rPr>
          <w:rFonts w:cs="Times"/>
          <w:i/>
          <w:iCs/>
          <w:noProof/>
          <w:szCs w:val="24"/>
        </w:rPr>
        <w:t>Wood Fiber Sci.</w:t>
      </w:r>
      <w:r w:rsidRPr="00FF6389">
        <w:rPr>
          <w:rFonts w:cs="Times"/>
          <w:noProof/>
          <w:szCs w:val="24"/>
        </w:rPr>
        <w:t xml:space="preserve"> </w:t>
      </w:r>
      <w:r w:rsidRPr="00FF6389">
        <w:rPr>
          <w:rFonts w:cs="Times"/>
          <w:b/>
          <w:bCs/>
          <w:noProof/>
          <w:szCs w:val="24"/>
        </w:rPr>
        <w:t>1983</w:t>
      </w:r>
      <w:r w:rsidRPr="00FF6389">
        <w:rPr>
          <w:rFonts w:cs="Times"/>
          <w:noProof/>
          <w:szCs w:val="24"/>
        </w:rPr>
        <w:t xml:space="preserve">, </w:t>
      </w:r>
      <w:r w:rsidRPr="00FF6389">
        <w:rPr>
          <w:rFonts w:cs="Times"/>
          <w:i/>
          <w:iCs/>
          <w:noProof/>
          <w:szCs w:val="24"/>
        </w:rPr>
        <w:t>19</w:t>
      </w:r>
      <w:r w:rsidRPr="00FF6389">
        <w:rPr>
          <w:rFonts w:cs="Times"/>
          <w:noProof/>
          <w:szCs w:val="24"/>
        </w:rPr>
        <w:t xml:space="preserve"> (4), 446–452.</w:t>
      </w:r>
    </w:p>
    <w:p w14:paraId="1E133590"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(67) </w:t>
      </w:r>
      <w:r w:rsidRPr="00FF6389">
        <w:rPr>
          <w:rFonts w:cs="Times"/>
          <w:noProof/>
          <w:szCs w:val="24"/>
        </w:rPr>
        <w:tab/>
        <w:t xml:space="preserve">Demirbas, A. Relationships Between Heating Value and Lignin, Moisture, Ash and Extractive Contents of Biomass Fuels. </w:t>
      </w:r>
      <w:r w:rsidRPr="00FF6389">
        <w:rPr>
          <w:rFonts w:cs="Times"/>
          <w:i/>
          <w:iCs/>
          <w:noProof/>
          <w:szCs w:val="24"/>
        </w:rPr>
        <w:t>Energy Exploration &amp; Exploitation</w:t>
      </w:r>
      <w:r w:rsidRPr="00FF6389">
        <w:rPr>
          <w:rFonts w:cs="Times"/>
          <w:noProof/>
          <w:szCs w:val="24"/>
        </w:rPr>
        <w:t>. Sage Publications, Ltd. 2002, pp 105–111.</w:t>
      </w:r>
    </w:p>
    <w:p w14:paraId="61FA9AC5"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(68) </w:t>
      </w:r>
      <w:r w:rsidRPr="00FF6389">
        <w:rPr>
          <w:rFonts w:cs="Times"/>
          <w:noProof/>
          <w:szCs w:val="24"/>
        </w:rPr>
        <w:tab/>
        <w:t xml:space="preserve">Griu, T.; Lunguleasa, A. The Use of the White Poplar (Populus Alba L.) Biomass as Fuel. </w:t>
      </w:r>
      <w:r w:rsidRPr="00FF6389">
        <w:rPr>
          <w:rFonts w:cs="Times"/>
          <w:i/>
          <w:iCs/>
          <w:noProof/>
          <w:szCs w:val="24"/>
        </w:rPr>
        <w:t>J. For. Res.</w:t>
      </w:r>
      <w:r w:rsidRPr="00FF6389">
        <w:rPr>
          <w:rFonts w:cs="Times"/>
          <w:noProof/>
          <w:szCs w:val="24"/>
        </w:rPr>
        <w:t xml:space="preserve"> </w:t>
      </w:r>
      <w:r w:rsidRPr="00FF6389">
        <w:rPr>
          <w:rFonts w:cs="Times"/>
          <w:b/>
          <w:bCs/>
          <w:noProof/>
          <w:szCs w:val="24"/>
        </w:rPr>
        <w:t>2016</w:t>
      </w:r>
      <w:r w:rsidRPr="00FF6389">
        <w:rPr>
          <w:rFonts w:cs="Times"/>
          <w:noProof/>
          <w:szCs w:val="24"/>
        </w:rPr>
        <w:t xml:space="preserve">, </w:t>
      </w:r>
      <w:r w:rsidRPr="00FF6389">
        <w:rPr>
          <w:rFonts w:cs="Times"/>
          <w:i/>
          <w:iCs/>
          <w:noProof/>
          <w:szCs w:val="24"/>
        </w:rPr>
        <w:t>27</w:t>
      </w:r>
      <w:r w:rsidRPr="00FF6389">
        <w:rPr>
          <w:rFonts w:cs="Times"/>
          <w:noProof/>
          <w:szCs w:val="24"/>
        </w:rPr>
        <w:t xml:space="preserve"> (3), 719–725.</w:t>
      </w:r>
    </w:p>
    <w:p w14:paraId="66106004"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(69) </w:t>
      </w:r>
      <w:r w:rsidRPr="00FF6389">
        <w:rPr>
          <w:rFonts w:cs="Times"/>
          <w:noProof/>
          <w:szCs w:val="24"/>
        </w:rPr>
        <w:tab/>
        <w:t xml:space="preserve">Rodríguez-García, A.; Martín, J. A.; López, R.; Sanz, A.; Gil, L. Effect of Four Tapping Methods on Anatomical Traits and Resin Yield in Maritime Pine (Pinus Pinaster Ait.). </w:t>
      </w:r>
      <w:r w:rsidRPr="00FF6389">
        <w:rPr>
          <w:rFonts w:cs="Times"/>
          <w:i/>
          <w:iCs/>
          <w:noProof/>
          <w:szCs w:val="24"/>
        </w:rPr>
        <w:t>Ind. Crops Prod.</w:t>
      </w:r>
      <w:r w:rsidRPr="00FF6389">
        <w:rPr>
          <w:rFonts w:cs="Times"/>
          <w:noProof/>
          <w:szCs w:val="24"/>
        </w:rPr>
        <w:t xml:space="preserve"> </w:t>
      </w:r>
      <w:r w:rsidRPr="00FF6389">
        <w:rPr>
          <w:rFonts w:cs="Times"/>
          <w:b/>
          <w:bCs/>
          <w:noProof/>
          <w:szCs w:val="24"/>
        </w:rPr>
        <w:t>2016</w:t>
      </w:r>
      <w:r w:rsidRPr="00FF6389">
        <w:rPr>
          <w:rFonts w:cs="Times"/>
          <w:noProof/>
          <w:szCs w:val="24"/>
        </w:rPr>
        <w:t xml:space="preserve">, </w:t>
      </w:r>
      <w:r w:rsidRPr="00FF6389">
        <w:rPr>
          <w:rFonts w:cs="Times"/>
          <w:i/>
          <w:iCs/>
          <w:noProof/>
          <w:szCs w:val="24"/>
        </w:rPr>
        <w:t>86</w:t>
      </w:r>
      <w:r w:rsidRPr="00FF6389">
        <w:rPr>
          <w:rFonts w:cs="Times"/>
          <w:noProof/>
          <w:szCs w:val="24"/>
        </w:rPr>
        <w:t>, 143–154.</w:t>
      </w:r>
    </w:p>
    <w:p w14:paraId="1D405B3D" w14:textId="77777777" w:rsidR="00FF6389" w:rsidRPr="00FF6389" w:rsidRDefault="00FF6389" w:rsidP="00FF6389">
      <w:pPr>
        <w:widowControl w:val="0"/>
        <w:autoSpaceDE w:val="0"/>
        <w:autoSpaceDN w:val="0"/>
        <w:adjustRightInd w:val="0"/>
        <w:spacing w:line="480" w:lineRule="auto"/>
        <w:ind w:left="640" w:hanging="640"/>
        <w:rPr>
          <w:rFonts w:cs="Times"/>
          <w:noProof/>
          <w:szCs w:val="24"/>
        </w:rPr>
      </w:pPr>
      <w:r w:rsidRPr="00FF6389">
        <w:rPr>
          <w:rFonts w:cs="Times"/>
          <w:noProof/>
          <w:szCs w:val="24"/>
        </w:rPr>
        <w:t xml:space="preserve">(70) </w:t>
      </w:r>
      <w:r w:rsidRPr="00FF6389">
        <w:rPr>
          <w:rFonts w:cs="Times"/>
          <w:noProof/>
          <w:szCs w:val="24"/>
        </w:rPr>
        <w:tab/>
        <w:t xml:space="preserve">Demirbas, A. Higher Heating Values of Lignin Types from Wood and Non-Wood Lignocellulosic Biomasses. </w:t>
      </w:r>
      <w:r w:rsidRPr="00FF6389">
        <w:rPr>
          <w:rFonts w:cs="Times"/>
          <w:i/>
          <w:iCs/>
          <w:noProof/>
          <w:szCs w:val="24"/>
        </w:rPr>
        <w:t>Energy Sources, Part A Recover. Util. Environ. Eff.</w:t>
      </w:r>
      <w:r w:rsidRPr="00FF6389">
        <w:rPr>
          <w:rFonts w:cs="Times"/>
          <w:noProof/>
          <w:szCs w:val="24"/>
        </w:rPr>
        <w:t xml:space="preserve"> </w:t>
      </w:r>
      <w:r w:rsidRPr="00FF6389">
        <w:rPr>
          <w:rFonts w:cs="Times"/>
          <w:b/>
          <w:bCs/>
          <w:noProof/>
          <w:szCs w:val="24"/>
        </w:rPr>
        <w:t>2017</w:t>
      </w:r>
      <w:r w:rsidRPr="00FF6389">
        <w:rPr>
          <w:rFonts w:cs="Times"/>
          <w:noProof/>
          <w:szCs w:val="24"/>
        </w:rPr>
        <w:t xml:space="preserve">, </w:t>
      </w:r>
      <w:r w:rsidRPr="00FF6389">
        <w:rPr>
          <w:rFonts w:cs="Times"/>
          <w:i/>
          <w:iCs/>
          <w:noProof/>
          <w:szCs w:val="24"/>
        </w:rPr>
        <w:t>39</w:t>
      </w:r>
      <w:r w:rsidRPr="00FF6389">
        <w:rPr>
          <w:rFonts w:cs="Times"/>
          <w:noProof/>
          <w:szCs w:val="24"/>
        </w:rPr>
        <w:t xml:space="preserve"> (6), 592–598.</w:t>
      </w:r>
    </w:p>
    <w:p w14:paraId="48F8E836" w14:textId="77777777" w:rsidR="00FF6389" w:rsidRPr="00FF6389" w:rsidRDefault="00FF6389" w:rsidP="00FF6389">
      <w:pPr>
        <w:widowControl w:val="0"/>
        <w:autoSpaceDE w:val="0"/>
        <w:autoSpaceDN w:val="0"/>
        <w:adjustRightInd w:val="0"/>
        <w:spacing w:line="480" w:lineRule="auto"/>
        <w:ind w:left="640" w:hanging="640"/>
        <w:rPr>
          <w:rFonts w:cs="Times"/>
          <w:noProof/>
        </w:rPr>
      </w:pPr>
      <w:r w:rsidRPr="00FF6389">
        <w:rPr>
          <w:rFonts w:cs="Times"/>
          <w:noProof/>
          <w:szCs w:val="24"/>
        </w:rPr>
        <w:t xml:space="preserve">(71) </w:t>
      </w:r>
      <w:r w:rsidRPr="00FF6389">
        <w:rPr>
          <w:rFonts w:cs="Times"/>
          <w:noProof/>
          <w:szCs w:val="24"/>
        </w:rPr>
        <w:tab/>
        <w:t xml:space="preserve">Telmo, C.; Lousada, J. The Explained Variation by Lignin and Extractive Contents on Higher Heating Value of Wood. </w:t>
      </w:r>
      <w:r w:rsidRPr="00FF6389">
        <w:rPr>
          <w:rFonts w:cs="Times"/>
          <w:i/>
          <w:iCs/>
          <w:noProof/>
          <w:szCs w:val="24"/>
        </w:rPr>
        <w:t>Biomass and Bioenergy</w:t>
      </w:r>
      <w:r w:rsidRPr="00FF6389">
        <w:rPr>
          <w:rFonts w:cs="Times"/>
          <w:noProof/>
          <w:szCs w:val="24"/>
        </w:rPr>
        <w:t xml:space="preserve"> </w:t>
      </w:r>
      <w:r w:rsidRPr="00FF6389">
        <w:rPr>
          <w:rFonts w:cs="Times"/>
          <w:b/>
          <w:bCs/>
          <w:noProof/>
          <w:szCs w:val="24"/>
        </w:rPr>
        <w:t>2011</w:t>
      </w:r>
      <w:r w:rsidRPr="00FF6389">
        <w:rPr>
          <w:rFonts w:cs="Times"/>
          <w:noProof/>
          <w:szCs w:val="24"/>
        </w:rPr>
        <w:t xml:space="preserve">, </w:t>
      </w:r>
      <w:r w:rsidRPr="00FF6389">
        <w:rPr>
          <w:rFonts w:cs="Times"/>
          <w:i/>
          <w:iCs/>
          <w:noProof/>
          <w:szCs w:val="24"/>
        </w:rPr>
        <w:t>35</w:t>
      </w:r>
      <w:r w:rsidRPr="00FF6389">
        <w:rPr>
          <w:rFonts w:cs="Times"/>
          <w:noProof/>
          <w:szCs w:val="24"/>
        </w:rPr>
        <w:t xml:space="preserve"> (5), 1663–1667.</w:t>
      </w:r>
    </w:p>
    <w:p w14:paraId="6A323F56" w14:textId="30E2543A" w:rsidR="00FE3F9F" w:rsidRPr="00516550" w:rsidRDefault="004551F7" w:rsidP="00516550">
      <w:pPr>
        <w:pStyle w:val="TFReferencesSection"/>
        <w:sectPr w:rsidR="00FE3F9F" w:rsidRPr="00516550" w:rsidSect="00603A01">
          <w:pgSz w:w="11906" w:h="16838"/>
          <w:pgMar w:top="1417" w:right="1701" w:bottom="1417" w:left="1701" w:header="708" w:footer="708" w:gutter="0"/>
          <w:lnNumType w:countBy="1" w:restart="continuous"/>
          <w:cols w:space="708"/>
          <w:docGrid w:linePitch="360"/>
        </w:sectPr>
      </w:pPr>
      <w:r w:rsidRPr="00AC1A16">
        <w:fldChar w:fldCharType="end"/>
      </w:r>
    </w:p>
    <w:p w14:paraId="1D41CF07" w14:textId="48F50802" w:rsidR="00FE3F9F" w:rsidRPr="00AC1A16" w:rsidRDefault="00FE3F9F" w:rsidP="00F02EC0">
      <w:pPr>
        <w:pStyle w:val="TDAcknowledgments"/>
      </w:pPr>
      <w:r w:rsidRPr="00AC1A16">
        <w:lastRenderedPageBreak/>
        <w:t>ACKNOWLEDGMENTS</w:t>
      </w:r>
    </w:p>
    <w:p w14:paraId="02BAD25C" w14:textId="7899FCCD" w:rsidR="00A90DB1" w:rsidRPr="00AC1A16" w:rsidRDefault="00FE3F9F" w:rsidP="00F02EC0">
      <w:pPr>
        <w:pStyle w:val="TDAcknowledgments"/>
      </w:pPr>
      <w:r w:rsidRPr="00AC1A16">
        <w:t xml:space="preserve">The authors would like to thank to the University of the Basque Country UPV/EHU and the University of Pau and Pays de l’Adour UPPA (Predoctoral fellowship-PIFPAU15/01) for financially supporting this work. </w:t>
      </w:r>
      <w:r w:rsidR="00D960FF" w:rsidRPr="00AC1A16">
        <w:t>Furthermore,</w:t>
      </w:r>
      <w:r w:rsidRPr="00AC1A16">
        <w:t xml:space="preserve"> we would like to thank TANAC S.A for kindly p</w:t>
      </w:r>
      <w:r w:rsidR="00516550">
        <w:t>roviding the tannin extracts,</w:t>
      </w:r>
      <w:r w:rsidRPr="00AC1A16">
        <w:t xml:space="preserve"> Hybrid Plastic Inc.</w:t>
      </w:r>
      <w:r w:rsidR="00D960FF" w:rsidRPr="00AC1A16">
        <w:t xml:space="preserve"> (USA)</w:t>
      </w:r>
      <w:r w:rsidR="00516550">
        <w:t xml:space="preserve"> and</w:t>
      </w:r>
      <w:r w:rsidRPr="00AC1A16">
        <w:t xml:space="preserve"> </w:t>
      </w:r>
      <w:r w:rsidR="00D960FF" w:rsidRPr="00AC1A16">
        <w:t>Laviosa Advance Mineral Solutions (Italy) for kindly providing the nanosilicate and nanoclay respectively.</w:t>
      </w:r>
      <w:r w:rsidR="00516550">
        <w:t xml:space="preserve"> On the other hand</w:t>
      </w:r>
      <w:r w:rsidR="00686803">
        <w:t>,</w:t>
      </w:r>
      <w:bookmarkStart w:id="0" w:name="_GoBack"/>
      <w:bookmarkEnd w:id="0"/>
      <w:r w:rsidR="00516550">
        <w:t xml:space="preserve"> we would also like to acknowledge the companies of the varnish and coating industry, BASMODEC (Gipuzkoa) and </w:t>
      </w:r>
      <w:r w:rsidR="00516550">
        <w:t>NAILAN Parquets-Barnices</w:t>
      </w:r>
      <w:r w:rsidR="00516550">
        <w:t xml:space="preserve"> (Bizkaia) for providing us with the commercial formulation of the fireproofing coatings.</w:t>
      </w:r>
    </w:p>
    <w:p w14:paraId="1FFB9B61" w14:textId="6A8FC64D" w:rsidR="00D960FF" w:rsidRPr="00AC1A16" w:rsidRDefault="00D960FF" w:rsidP="00D960FF">
      <w:pPr>
        <w:spacing w:line="276" w:lineRule="auto"/>
        <w:rPr>
          <w:rFonts w:ascii="Arial" w:hAnsi="Arial" w:cs="Arial"/>
        </w:rPr>
        <w:sectPr w:rsidR="00D960FF" w:rsidRPr="00AC1A16" w:rsidSect="00603A01">
          <w:pgSz w:w="11906" w:h="16838"/>
          <w:pgMar w:top="1417" w:right="1701" w:bottom="1417" w:left="1701" w:header="708" w:footer="708" w:gutter="0"/>
          <w:lnNumType w:countBy="1" w:restart="continuous"/>
          <w:cols w:space="708"/>
          <w:docGrid w:linePitch="360"/>
        </w:sectPr>
      </w:pPr>
    </w:p>
    <w:p w14:paraId="3244AAD1" w14:textId="2ADF7702" w:rsidR="0036499D" w:rsidRPr="00AC1A16" w:rsidRDefault="0036499D" w:rsidP="0036499D">
      <w:pPr>
        <w:pStyle w:val="TDAcknowledgments"/>
      </w:pPr>
      <w:r w:rsidRPr="00AC1A16">
        <w:lastRenderedPageBreak/>
        <w:t>SUPPORTING INFORMATION</w:t>
      </w:r>
    </w:p>
    <w:p w14:paraId="59E277D8" w14:textId="5B975FC9" w:rsidR="004E7069" w:rsidRPr="00AC1A16" w:rsidRDefault="00D81C0A" w:rsidP="0036499D">
      <w:pPr>
        <w:pStyle w:val="SNSynopsisTOC"/>
      </w:pPr>
      <w:r w:rsidRPr="00AC1A16">
        <w:t>Appendix A: Substrate and Parameters set for the application of the coating.</w:t>
      </w:r>
    </w:p>
    <w:p w14:paraId="59428C1E" w14:textId="17F970FE" w:rsidR="00D81C0A" w:rsidRPr="00AC1A16" w:rsidRDefault="00D81C0A" w:rsidP="00D81C0A">
      <w:pPr>
        <w:pStyle w:val="SNSynopsisTOC"/>
        <w:ind w:left="284"/>
      </w:pPr>
      <w:r w:rsidRPr="00AC1A16">
        <w:t>Appendix A1: Properties of wood substrates used</w:t>
      </w:r>
    </w:p>
    <w:p w14:paraId="57707433" w14:textId="5CA99574" w:rsidR="00D81C0A" w:rsidRPr="00AC1A16" w:rsidRDefault="00D81C0A" w:rsidP="007B2AA8">
      <w:pPr>
        <w:pStyle w:val="SNSynopsisTOC"/>
        <w:numPr>
          <w:ilvl w:val="0"/>
          <w:numId w:val="20"/>
        </w:numPr>
      </w:pPr>
      <w:r w:rsidRPr="00AC1A16">
        <w:t>Table A1. Differences concerning the anatomy and intrinsic porperties of the wood species selected in this work</w:t>
      </w:r>
    </w:p>
    <w:p w14:paraId="70D75F60" w14:textId="0DE51E19" w:rsidR="00D81C0A" w:rsidRPr="00AC1A16" w:rsidRDefault="00D81C0A" w:rsidP="00D81C0A">
      <w:pPr>
        <w:pStyle w:val="SNSynopsisTOC"/>
        <w:ind w:left="284"/>
      </w:pPr>
      <w:r w:rsidRPr="00AC1A16">
        <w:t>Appendix A2: Parameters set for the coating application</w:t>
      </w:r>
    </w:p>
    <w:p w14:paraId="10E934A0" w14:textId="57D745EB" w:rsidR="0036499D" w:rsidRPr="00AC1A16" w:rsidRDefault="0036499D" w:rsidP="007B2AA8">
      <w:pPr>
        <w:pStyle w:val="SNSynopsisTOC"/>
        <w:numPr>
          <w:ilvl w:val="0"/>
          <w:numId w:val="20"/>
        </w:numPr>
      </w:pPr>
      <w:r w:rsidRPr="00AC1A16">
        <w:t xml:space="preserve">Figure A1: Evolution of the weight percentage gain (WPG) of the coated samples after the addition of different amounts of resin. </w:t>
      </w:r>
    </w:p>
    <w:p w14:paraId="78A22342" w14:textId="03FC3435" w:rsidR="0036499D" w:rsidRPr="00AC1A16" w:rsidRDefault="00F57F99" w:rsidP="0036499D">
      <w:pPr>
        <w:pStyle w:val="SNSynopsisTOC"/>
      </w:pPr>
      <w:r w:rsidRPr="00AC1A16">
        <w:t>Appendix B: Analyses for assessing the fireproofing properties of the coating (methods description)</w:t>
      </w:r>
    </w:p>
    <w:p w14:paraId="037BAA9D" w14:textId="2AE1AF65" w:rsidR="00F57F99" w:rsidRPr="00AC1A16" w:rsidRDefault="00F57F99" w:rsidP="00F57F99">
      <w:pPr>
        <w:pStyle w:val="SNSynopsisTOC"/>
        <w:ind w:left="284"/>
      </w:pPr>
      <w:r w:rsidRPr="00AC1A16">
        <w:t>Appendix B1: Analysis of the heat release during combustion</w:t>
      </w:r>
    </w:p>
    <w:p w14:paraId="2F127AC7" w14:textId="226849AF" w:rsidR="00F57F99" w:rsidRPr="00AC1A16" w:rsidRDefault="00F57F99" w:rsidP="00F57F99">
      <w:pPr>
        <w:pStyle w:val="SNSynopsisTOC"/>
        <w:ind w:left="284"/>
      </w:pPr>
      <w:r w:rsidRPr="00AC1A16">
        <w:t>Appendix B2: Analysis of the heat transfer after the application of the coating</w:t>
      </w:r>
    </w:p>
    <w:p w14:paraId="15DF7E57" w14:textId="74C599FC" w:rsidR="00F57F99" w:rsidRPr="00AC1A16" w:rsidRDefault="00F57F99" w:rsidP="00F57F99">
      <w:pPr>
        <w:pStyle w:val="SNSynopsisTOC"/>
      </w:pPr>
      <w:r w:rsidRPr="00AC1A16">
        <w:t>Appendix C: Characterization of the coatings</w:t>
      </w:r>
    </w:p>
    <w:p w14:paraId="5BB13CBA" w14:textId="5764BA3B" w:rsidR="00F57F99" w:rsidRPr="00AC1A16" w:rsidRDefault="00F57F99" w:rsidP="00F57F99">
      <w:pPr>
        <w:pStyle w:val="SNSynopsisTOC"/>
        <w:ind w:left="284"/>
      </w:pPr>
      <w:r w:rsidRPr="00AC1A16">
        <w:t>Appendix C1: Fourier transformed Infrared Spectroscopy Analysis (FTIR)</w:t>
      </w:r>
    </w:p>
    <w:p w14:paraId="4E494F8F" w14:textId="0E3ACA3E" w:rsidR="00F57F99" w:rsidRPr="00AC1A16" w:rsidRDefault="00F57F99" w:rsidP="007B2AA8">
      <w:pPr>
        <w:pStyle w:val="SNSynopsisTOC"/>
        <w:numPr>
          <w:ilvl w:val="0"/>
          <w:numId w:val="20"/>
        </w:numPr>
      </w:pPr>
      <w:r w:rsidRPr="00AC1A16">
        <w:t>Table C1: List of assignments of the main signals detected in the spectra of the cured resins and their components</w:t>
      </w:r>
    </w:p>
    <w:p w14:paraId="006D5D88" w14:textId="61D4C0DB" w:rsidR="002C305C" w:rsidRPr="00AC1A16" w:rsidRDefault="002C305C" w:rsidP="007B2AA8">
      <w:pPr>
        <w:pStyle w:val="SNSynopsisTOC"/>
        <w:ind w:left="284"/>
      </w:pPr>
      <w:r w:rsidRPr="00AC1A16">
        <w:t>Appendix C2: Thermogravimetric Analysis (TGA)</w:t>
      </w:r>
    </w:p>
    <w:p w14:paraId="39F76E9F" w14:textId="6E4ABD1A" w:rsidR="002C305C" w:rsidRPr="00AC1A16" w:rsidRDefault="002C305C" w:rsidP="007B2AA8">
      <w:pPr>
        <w:pStyle w:val="SNSynopsisTOC"/>
        <w:numPr>
          <w:ilvl w:val="0"/>
          <w:numId w:val="20"/>
        </w:numPr>
      </w:pPr>
      <w:r w:rsidRPr="00AC1A16">
        <w:t xml:space="preserve">Figure C1. Thermogravimetric and derivative thermogravimetric curves of the resins compared to their raw material: a) Reference resin, LMP: maritime pine lignin, LF: lignin functionalized (glyoxalated), MT: mimosa tannin; b) Resin </w:t>
      </w:r>
      <w:r w:rsidRPr="00AC1A16">
        <w:lastRenderedPageBreak/>
        <w:t>formulation RA, LMP: maritime pine lignin, LFA: lignin functionalized (glyoxalated+hybridized with montmorillonite), MT: mimosa tannin and c) Resin formulation RB, LMP: maritime pine lignin, LFB: lignin functionalized (glyoxalated+hybridized with POSS), MT: mimosa tannin</w:t>
      </w:r>
    </w:p>
    <w:p w14:paraId="5CB9F485" w14:textId="4A675708" w:rsidR="00F57F99" w:rsidRPr="00AC1A16" w:rsidRDefault="00F57F99" w:rsidP="00F57F99">
      <w:pPr>
        <w:pStyle w:val="SNSynopsisTOC"/>
      </w:pPr>
      <w:r w:rsidRPr="00AC1A16">
        <w:t>Appendix D: Assessment of the performance of the coatings</w:t>
      </w:r>
    </w:p>
    <w:p w14:paraId="79829B74" w14:textId="1C2FBC43" w:rsidR="00F57F99" w:rsidRPr="00AC1A16" w:rsidRDefault="00F57F99" w:rsidP="00F57F99">
      <w:pPr>
        <w:pStyle w:val="SNSynopsisTOC"/>
        <w:ind w:left="284"/>
      </w:pPr>
      <w:r w:rsidRPr="00AC1A16">
        <w:t>Appendix D1: Analysis of the combustibility of the wood samples</w:t>
      </w:r>
    </w:p>
    <w:p w14:paraId="6E561996" w14:textId="3434DDFC" w:rsidR="00F57F99" w:rsidRPr="00AC1A16" w:rsidRDefault="00F57F99" w:rsidP="007B2AA8">
      <w:pPr>
        <w:pStyle w:val="SNSynopsisTOC"/>
        <w:numPr>
          <w:ilvl w:val="0"/>
          <w:numId w:val="20"/>
        </w:numPr>
      </w:pPr>
      <w:r w:rsidRPr="00AC1A16">
        <w:t>Table D1: Capacity of the coatings for reducing the combustibility of the wood samples.</w:t>
      </w:r>
    </w:p>
    <w:p w14:paraId="6B34CABC" w14:textId="5226906B" w:rsidR="00F57F99" w:rsidRPr="00AC1A16" w:rsidRDefault="00F57F99" w:rsidP="00F57F99">
      <w:pPr>
        <w:pStyle w:val="SNSynopsisTOC"/>
        <w:ind w:left="284"/>
      </w:pPr>
      <w:r w:rsidRPr="00AC1A16">
        <w:t>Appendix D2: Analysis of the heat transfer properties of the coatings</w:t>
      </w:r>
    </w:p>
    <w:p w14:paraId="2C7F3C3A" w14:textId="5C6E0FE3" w:rsidR="00F57F99" w:rsidRPr="00AC1A16" w:rsidRDefault="00F57F99" w:rsidP="007B2AA8">
      <w:pPr>
        <w:pStyle w:val="SNSynopsisTOC"/>
        <w:numPr>
          <w:ilvl w:val="0"/>
          <w:numId w:val="20"/>
        </w:numPr>
      </w:pPr>
      <w:r w:rsidRPr="00AC1A16">
        <w:t>Table D2: Results of Bonferroni test for the comparison between the means of the different types of samples.</w:t>
      </w:r>
    </w:p>
    <w:p w14:paraId="5D59021A" w14:textId="77777777" w:rsidR="00F83A63" w:rsidRPr="00AC1A16" w:rsidRDefault="00F57F99" w:rsidP="00F57F99">
      <w:pPr>
        <w:pStyle w:val="SNSynopsisTOC"/>
        <w:numPr>
          <w:ilvl w:val="0"/>
          <w:numId w:val="20"/>
        </w:numPr>
        <w:sectPr w:rsidR="00F83A63" w:rsidRPr="00AC1A16" w:rsidSect="0036499D">
          <w:pgSz w:w="11906" w:h="16838"/>
          <w:pgMar w:top="1417" w:right="1701" w:bottom="1417" w:left="1701" w:header="708" w:footer="708" w:gutter="0"/>
          <w:lnNumType w:countBy="1" w:restart="continuous"/>
          <w:cols w:space="708"/>
          <w:docGrid w:linePitch="360"/>
        </w:sectPr>
      </w:pPr>
      <w:r w:rsidRPr="00AC1A16">
        <w:t>Table D3: Results of the overall ANOVA test</w:t>
      </w:r>
    </w:p>
    <w:p w14:paraId="3D4BC1E5" w14:textId="0F4A1164" w:rsidR="00F83A63" w:rsidRPr="00AC1A16" w:rsidRDefault="00F83A63" w:rsidP="007B2AA8">
      <w:pPr>
        <w:pStyle w:val="SNSynopsisTOC"/>
      </w:pPr>
      <w:r w:rsidRPr="00AC1A16">
        <w:lastRenderedPageBreak/>
        <w:t>FOR TABLE OF CONTENTS USE ONLY</w:t>
      </w:r>
    </w:p>
    <w:p w14:paraId="1E5A5452" w14:textId="64F05CD5" w:rsidR="00F83A63" w:rsidRPr="00AC1A16" w:rsidRDefault="00F83A63" w:rsidP="007B2AA8">
      <w:pPr>
        <w:pStyle w:val="SNSynopsisTOC"/>
      </w:pPr>
      <w:r w:rsidRPr="00AC1A16">
        <w:rPr>
          <w:noProof/>
          <w:lang w:val="es-ES" w:eastAsia="es-ES"/>
        </w:rPr>
        <w:drawing>
          <wp:inline distT="0" distB="0" distL="0" distR="0" wp14:anchorId="5CF8D939" wp14:editId="51B24502">
            <wp:extent cx="8892540" cy="3378200"/>
            <wp:effectExtent l="0" t="0" r="381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al Abstract-JHM.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892540" cy="3378200"/>
                    </a:xfrm>
                    <a:prstGeom prst="rect">
                      <a:avLst/>
                    </a:prstGeom>
                  </pic:spPr>
                </pic:pic>
              </a:graphicData>
            </a:graphic>
          </wp:inline>
        </w:drawing>
      </w:r>
    </w:p>
    <w:p w14:paraId="61E9FDB1" w14:textId="3A8780FE" w:rsidR="00624BB9" w:rsidRPr="00AC1A16" w:rsidRDefault="00624BB9" w:rsidP="00624BB9">
      <w:pPr>
        <w:pStyle w:val="SNSynopsisTOC"/>
      </w:pPr>
      <w:r w:rsidRPr="00AC1A16">
        <w:t>SYNOPSIS:</w:t>
      </w:r>
    </w:p>
    <w:p w14:paraId="6FD43DAD" w14:textId="50B6DF57" w:rsidR="00F83A63" w:rsidRPr="00AC1A16" w:rsidRDefault="00624BB9" w:rsidP="00F83A63">
      <w:pPr>
        <w:pStyle w:val="SNSynopsisTOC"/>
      </w:pPr>
      <w:r w:rsidRPr="00AC1A16">
        <w:t>Formulations of biobased phenolic resins based on lignin, tannins and inorganic nanoparticles were successfully applied as fireproofing coatings for wood</w:t>
      </w:r>
    </w:p>
    <w:sectPr w:rsidR="00F83A63" w:rsidRPr="00AC1A16" w:rsidSect="00F83A63">
      <w:pgSz w:w="16838" w:h="11906" w:orient="landscape"/>
      <w:pgMar w:top="1701" w:right="1417" w:bottom="1701" w:left="1417" w:header="708" w:footer="708" w:gutter="0"/>
      <w:lnNumType w:countBy="1" w:restart="continuou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2085E7B" w14:textId="77777777" w:rsidR="0071465E" w:rsidRDefault="0071465E" w:rsidP="0036499D">
      <w:pPr>
        <w:spacing w:after="0"/>
      </w:pPr>
      <w:r>
        <w:separator/>
      </w:r>
    </w:p>
  </w:endnote>
  <w:endnote w:type="continuationSeparator" w:id="0">
    <w:p w14:paraId="31627C26" w14:textId="77777777" w:rsidR="0071465E" w:rsidRDefault="0071465E" w:rsidP="0036499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w:altName w:val="Times New Roman"/>
    <w:panose1 w:val="02020603050405020304"/>
    <w:charset w:val="00"/>
    <w:family w:val="roman"/>
    <w:pitch w:val="variable"/>
    <w:sig w:usb0="E0002AFF" w:usb1="C0007841"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Arno Pro">
    <w:altName w:val="Times New Roman"/>
    <w:panose1 w:val="00000000000000000000"/>
    <w:charset w:val="00"/>
    <w:family w:val="roman"/>
    <w:notTrueType/>
    <w:pitch w:val="variable"/>
    <w:sig w:usb0="60000287" w:usb1="00000001"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73480295"/>
      <w:docPartObj>
        <w:docPartGallery w:val="Page Numbers (Bottom of Page)"/>
        <w:docPartUnique/>
      </w:docPartObj>
    </w:sdtPr>
    <w:sdtContent>
      <w:p w14:paraId="7C757B70" w14:textId="58A20934" w:rsidR="002F774C" w:rsidRDefault="002F774C">
        <w:pPr>
          <w:pStyle w:val="Piedepgina"/>
          <w:jc w:val="right"/>
        </w:pPr>
        <w:r>
          <w:fldChar w:fldCharType="begin"/>
        </w:r>
        <w:r>
          <w:instrText>PAGE   \* MERGEFORMAT</w:instrText>
        </w:r>
        <w:r>
          <w:fldChar w:fldCharType="separate"/>
        </w:r>
        <w:r w:rsidR="0022481A" w:rsidRPr="0022481A">
          <w:rPr>
            <w:noProof/>
            <w:lang w:val="es-ES"/>
          </w:rPr>
          <w:t>46</w:t>
        </w:r>
        <w:r>
          <w:fldChar w:fldCharType="end"/>
        </w:r>
      </w:p>
    </w:sdtContent>
  </w:sdt>
  <w:p w14:paraId="6A78CBA2" w14:textId="77777777" w:rsidR="002F774C" w:rsidRDefault="002F774C">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2501DF" w14:textId="77777777" w:rsidR="0071465E" w:rsidRDefault="0071465E" w:rsidP="0036499D">
      <w:pPr>
        <w:spacing w:after="0"/>
      </w:pPr>
      <w:r>
        <w:separator/>
      </w:r>
    </w:p>
  </w:footnote>
  <w:footnote w:type="continuationSeparator" w:id="0">
    <w:p w14:paraId="6A4C0971" w14:textId="77777777" w:rsidR="0071465E" w:rsidRDefault="0071465E" w:rsidP="0036499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647C33"/>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783441C"/>
    <w:multiLevelType w:val="hybridMultilevel"/>
    <w:tmpl w:val="4BAEC166"/>
    <w:lvl w:ilvl="0" w:tplc="0FD48434">
      <w:numFmt w:val="decimal"/>
      <w:lvlText w:val="(%1)"/>
      <w:lvlJc w:val="left"/>
      <w:pPr>
        <w:ind w:left="720" w:hanging="360"/>
      </w:pPr>
      <w:rPr>
        <w:rFonts w:ascii="Times" w:hAnsi="Times" w:cs="Times" w:hint="default"/>
        <w:b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7B47E37"/>
    <w:multiLevelType w:val="hybridMultilevel"/>
    <w:tmpl w:val="B85087E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2B0D4588"/>
    <w:multiLevelType w:val="hybridMultilevel"/>
    <w:tmpl w:val="56DCB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E01202A"/>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EC86632"/>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26D3F9A"/>
    <w:multiLevelType w:val="singleLevel"/>
    <w:tmpl w:val="8BC469AA"/>
    <w:lvl w:ilvl="0">
      <w:start w:val="1"/>
      <w:numFmt w:val="lowerLetter"/>
      <w:lvlText w:val="%1."/>
      <w:lvlJc w:val="left"/>
      <w:pPr>
        <w:tabs>
          <w:tab w:val="num" w:pos="720"/>
        </w:tabs>
        <w:ind w:left="720" w:hanging="360"/>
      </w:pPr>
      <w:rPr>
        <w:rFonts w:hint="default"/>
      </w:rPr>
    </w:lvl>
  </w:abstractNum>
  <w:abstractNum w:abstractNumId="7" w15:restartNumberingAfterBreak="0">
    <w:nsid w:val="33B43764"/>
    <w:multiLevelType w:val="hybridMultilevel"/>
    <w:tmpl w:val="6C14C2C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34FD0C72"/>
    <w:multiLevelType w:val="singleLevel"/>
    <w:tmpl w:val="0409000F"/>
    <w:lvl w:ilvl="0">
      <w:start w:val="1"/>
      <w:numFmt w:val="decimal"/>
      <w:lvlText w:val="%1."/>
      <w:lvlJc w:val="left"/>
      <w:pPr>
        <w:tabs>
          <w:tab w:val="num" w:pos="360"/>
        </w:tabs>
        <w:ind w:left="360" w:hanging="360"/>
      </w:pPr>
      <w:rPr>
        <w:rFonts w:hint="default"/>
      </w:rPr>
    </w:lvl>
  </w:abstractNum>
  <w:abstractNum w:abstractNumId="9" w15:restartNumberingAfterBreak="0">
    <w:nsid w:val="3762623B"/>
    <w:multiLevelType w:val="singleLevel"/>
    <w:tmpl w:val="0409000F"/>
    <w:lvl w:ilvl="0">
      <w:start w:val="1"/>
      <w:numFmt w:val="decimal"/>
      <w:lvlText w:val="%1."/>
      <w:lvlJc w:val="left"/>
      <w:pPr>
        <w:tabs>
          <w:tab w:val="num" w:pos="360"/>
        </w:tabs>
        <w:ind w:left="360" w:hanging="360"/>
      </w:pPr>
      <w:rPr>
        <w:rFonts w:hint="default"/>
      </w:rPr>
    </w:lvl>
  </w:abstractNum>
  <w:abstractNum w:abstractNumId="10" w15:restartNumberingAfterBreak="0">
    <w:nsid w:val="384622AB"/>
    <w:multiLevelType w:val="singleLevel"/>
    <w:tmpl w:val="6FF0DD10"/>
    <w:lvl w:ilvl="0">
      <w:start w:val="1"/>
      <w:numFmt w:val="lowerLetter"/>
      <w:lvlText w:val="%1."/>
      <w:lvlJc w:val="left"/>
      <w:pPr>
        <w:tabs>
          <w:tab w:val="num" w:pos="922"/>
        </w:tabs>
        <w:ind w:left="922" w:hanging="360"/>
      </w:pPr>
      <w:rPr>
        <w:rFonts w:hint="default"/>
      </w:rPr>
    </w:lvl>
  </w:abstractNum>
  <w:abstractNum w:abstractNumId="11" w15:restartNumberingAfterBreak="0">
    <w:nsid w:val="3D9242FF"/>
    <w:multiLevelType w:val="hybridMultilevel"/>
    <w:tmpl w:val="F25EB0A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E7A7E0C"/>
    <w:multiLevelType w:val="singleLevel"/>
    <w:tmpl w:val="E32C900E"/>
    <w:lvl w:ilvl="0">
      <w:start w:val="1"/>
      <w:numFmt w:val="decimal"/>
      <w:lvlText w:val="%1."/>
      <w:lvlJc w:val="left"/>
      <w:pPr>
        <w:tabs>
          <w:tab w:val="num" w:pos="562"/>
        </w:tabs>
        <w:ind w:left="562" w:hanging="360"/>
      </w:pPr>
      <w:rPr>
        <w:rFonts w:hint="default"/>
      </w:rPr>
    </w:lvl>
  </w:abstractNum>
  <w:abstractNum w:abstractNumId="13" w15:restartNumberingAfterBreak="0">
    <w:nsid w:val="41DB2E3C"/>
    <w:multiLevelType w:val="singleLevel"/>
    <w:tmpl w:val="E5E28CB0"/>
    <w:lvl w:ilvl="0">
      <w:start w:val="1"/>
      <w:numFmt w:val="lowerLetter"/>
      <w:lvlText w:val="%1."/>
      <w:lvlJc w:val="left"/>
      <w:pPr>
        <w:tabs>
          <w:tab w:val="num" w:pos="1080"/>
        </w:tabs>
        <w:ind w:left="1080" w:hanging="360"/>
      </w:pPr>
      <w:rPr>
        <w:rFonts w:hint="default"/>
      </w:rPr>
    </w:lvl>
  </w:abstractNum>
  <w:abstractNum w:abstractNumId="14" w15:restartNumberingAfterBreak="0">
    <w:nsid w:val="4B704801"/>
    <w:multiLevelType w:val="hybridMultilevel"/>
    <w:tmpl w:val="03FE74E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4BC33613"/>
    <w:multiLevelType w:val="hybridMultilevel"/>
    <w:tmpl w:val="04548772"/>
    <w:lvl w:ilvl="0" w:tplc="0C0A0001">
      <w:start w:val="1"/>
      <w:numFmt w:val="bullet"/>
      <w:lvlText w:val=""/>
      <w:lvlJc w:val="left"/>
      <w:pPr>
        <w:ind w:left="1004" w:hanging="360"/>
      </w:pPr>
      <w:rPr>
        <w:rFonts w:ascii="Symbol" w:hAnsi="Symbol" w:hint="default"/>
      </w:rPr>
    </w:lvl>
    <w:lvl w:ilvl="1" w:tplc="0C0A0003" w:tentative="1">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6" w15:restartNumberingAfterBreak="0">
    <w:nsid w:val="587B23F3"/>
    <w:multiLevelType w:val="hybridMultilevel"/>
    <w:tmpl w:val="A502AD2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6E44054E"/>
    <w:multiLevelType w:val="hybridMultilevel"/>
    <w:tmpl w:val="DBA60928"/>
    <w:lvl w:ilvl="0" w:tplc="B83204E2">
      <w:numFmt w:val="decimal"/>
      <w:lvlText w:val="(%1)"/>
      <w:lvlJc w:val="left"/>
      <w:pPr>
        <w:ind w:left="720" w:hanging="360"/>
      </w:pPr>
      <w:rPr>
        <w:rFonts w:ascii="Times" w:hAnsi="Times" w:cs="Times" w:hint="default"/>
        <w:b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1755C89"/>
    <w:multiLevelType w:val="hybridMultilevel"/>
    <w:tmpl w:val="96C8DBA0"/>
    <w:lvl w:ilvl="0" w:tplc="650266E4">
      <w:numFmt w:val="decimal"/>
      <w:lvlText w:val="(%1)"/>
      <w:lvlJc w:val="left"/>
      <w:pPr>
        <w:ind w:left="720" w:hanging="36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EFC7061"/>
    <w:multiLevelType w:val="hybridMultilevel"/>
    <w:tmpl w:val="9A34519E"/>
    <w:lvl w:ilvl="0" w:tplc="1EE0BED6">
      <w:numFmt w:val="decimal"/>
      <w:lvlText w:val="(%1)"/>
      <w:lvlJc w:val="left"/>
      <w:pPr>
        <w:ind w:left="720" w:hanging="36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6"/>
  </w:num>
  <w:num w:numId="2">
    <w:abstractNumId w:val="2"/>
  </w:num>
  <w:num w:numId="3">
    <w:abstractNumId w:val="17"/>
  </w:num>
  <w:num w:numId="4">
    <w:abstractNumId w:val="1"/>
  </w:num>
  <w:num w:numId="5">
    <w:abstractNumId w:val="18"/>
  </w:num>
  <w:num w:numId="6">
    <w:abstractNumId w:val="19"/>
  </w:num>
  <w:num w:numId="7">
    <w:abstractNumId w:val="15"/>
  </w:num>
  <w:num w:numId="8">
    <w:abstractNumId w:val="14"/>
  </w:num>
  <w:num w:numId="9">
    <w:abstractNumId w:val="12"/>
  </w:num>
  <w:num w:numId="10">
    <w:abstractNumId w:val="9"/>
  </w:num>
  <w:num w:numId="11">
    <w:abstractNumId w:val="13"/>
  </w:num>
  <w:num w:numId="12">
    <w:abstractNumId w:val="10"/>
  </w:num>
  <w:num w:numId="13">
    <w:abstractNumId w:val="8"/>
  </w:num>
  <w:num w:numId="14">
    <w:abstractNumId w:val="6"/>
  </w:num>
  <w:num w:numId="15">
    <w:abstractNumId w:val="5"/>
  </w:num>
  <w:num w:numId="16">
    <w:abstractNumId w:val="3"/>
  </w:num>
  <w:num w:numId="17">
    <w:abstractNumId w:val="0"/>
  </w:num>
  <w:num w:numId="18">
    <w:abstractNumId w:val="4"/>
  </w:num>
  <w:num w:numId="19">
    <w:abstractNumId w:val="11"/>
  </w:num>
  <w:num w:numId="2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attachedTemplate r:id="rId1"/>
  <w:linkStyles/>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LE0NTM0tzA1MbS0NDVX0lEKTi0uzszPAykwNq8FAMvIdP0tAAAA"/>
  </w:docVars>
  <w:rsids>
    <w:rsidRoot w:val="00987BD5"/>
    <w:rsid w:val="00000A40"/>
    <w:rsid w:val="000026B6"/>
    <w:rsid w:val="00002B50"/>
    <w:rsid w:val="00004CCE"/>
    <w:rsid w:val="00006323"/>
    <w:rsid w:val="00010ED7"/>
    <w:rsid w:val="00021FA3"/>
    <w:rsid w:val="0003156D"/>
    <w:rsid w:val="000469BC"/>
    <w:rsid w:val="00046E25"/>
    <w:rsid w:val="000554FA"/>
    <w:rsid w:val="0006345C"/>
    <w:rsid w:val="00076E29"/>
    <w:rsid w:val="0007779F"/>
    <w:rsid w:val="000817D1"/>
    <w:rsid w:val="00086D15"/>
    <w:rsid w:val="0008739A"/>
    <w:rsid w:val="0009511D"/>
    <w:rsid w:val="000B60B9"/>
    <w:rsid w:val="000D27E6"/>
    <w:rsid w:val="000E07F1"/>
    <w:rsid w:val="000F30AC"/>
    <w:rsid w:val="000F3921"/>
    <w:rsid w:val="000F758A"/>
    <w:rsid w:val="001040A2"/>
    <w:rsid w:val="00112E14"/>
    <w:rsid w:val="001225BF"/>
    <w:rsid w:val="00123465"/>
    <w:rsid w:val="00131EAF"/>
    <w:rsid w:val="00137B85"/>
    <w:rsid w:val="00143A0B"/>
    <w:rsid w:val="00145924"/>
    <w:rsid w:val="00145CCE"/>
    <w:rsid w:val="00155EF1"/>
    <w:rsid w:val="0016224C"/>
    <w:rsid w:val="00165536"/>
    <w:rsid w:val="00182910"/>
    <w:rsid w:val="001847DF"/>
    <w:rsid w:val="00184942"/>
    <w:rsid w:val="0019184B"/>
    <w:rsid w:val="0019573E"/>
    <w:rsid w:val="001A3208"/>
    <w:rsid w:val="001A4EB5"/>
    <w:rsid w:val="001C1174"/>
    <w:rsid w:val="001C1271"/>
    <w:rsid w:val="001C5CF5"/>
    <w:rsid w:val="001D5A0C"/>
    <w:rsid w:val="001D7C5B"/>
    <w:rsid w:val="001E44F7"/>
    <w:rsid w:val="001E6400"/>
    <w:rsid w:val="00201ABE"/>
    <w:rsid w:val="00204C4F"/>
    <w:rsid w:val="002077A4"/>
    <w:rsid w:val="0021031D"/>
    <w:rsid w:val="00214E1F"/>
    <w:rsid w:val="002200EB"/>
    <w:rsid w:val="00222048"/>
    <w:rsid w:val="0022379E"/>
    <w:rsid w:val="0022481A"/>
    <w:rsid w:val="00232F97"/>
    <w:rsid w:val="00241057"/>
    <w:rsid w:val="00243E90"/>
    <w:rsid w:val="00245FB7"/>
    <w:rsid w:val="0025479F"/>
    <w:rsid w:val="00255651"/>
    <w:rsid w:val="00256E1E"/>
    <w:rsid w:val="002570E1"/>
    <w:rsid w:val="00270393"/>
    <w:rsid w:val="00272B54"/>
    <w:rsid w:val="0027426C"/>
    <w:rsid w:val="002761F2"/>
    <w:rsid w:val="00280B6B"/>
    <w:rsid w:val="00281990"/>
    <w:rsid w:val="00282454"/>
    <w:rsid w:val="00282DAF"/>
    <w:rsid w:val="00284CD3"/>
    <w:rsid w:val="002857A6"/>
    <w:rsid w:val="00290CF4"/>
    <w:rsid w:val="002913F2"/>
    <w:rsid w:val="00294D59"/>
    <w:rsid w:val="002B215C"/>
    <w:rsid w:val="002B244D"/>
    <w:rsid w:val="002B6CDA"/>
    <w:rsid w:val="002C305C"/>
    <w:rsid w:val="002D5AAC"/>
    <w:rsid w:val="002D7DFB"/>
    <w:rsid w:val="002E008F"/>
    <w:rsid w:val="002E1D23"/>
    <w:rsid w:val="002F0199"/>
    <w:rsid w:val="002F228C"/>
    <w:rsid w:val="002F6F9B"/>
    <w:rsid w:val="002F774C"/>
    <w:rsid w:val="003076C7"/>
    <w:rsid w:val="003300E7"/>
    <w:rsid w:val="00337300"/>
    <w:rsid w:val="0033791E"/>
    <w:rsid w:val="00347914"/>
    <w:rsid w:val="00353D87"/>
    <w:rsid w:val="0036292E"/>
    <w:rsid w:val="0036499D"/>
    <w:rsid w:val="00371BC0"/>
    <w:rsid w:val="00373C6E"/>
    <w:rsid w:val="003777B4"/>
    <w:rsid w:val="00381C6E"/>
    <w:rsid w:val="00382C8F"/>
    <w:rsid w:val="00387BBD"/>
    <w:rsid w:val="00390B66"/>
    <w:rsid w:val="003951A8"/>
    <w:rsid w:val="003A2675"/>
    <w:rsid w:val="003B26AB"/>
    <w:rsid w:val="003B6F8D"/>
    <w:rsid w:val="003C0F1C"/>
    <w:rsid w:val="003C17F8"/>
    <w:rsid w:val="003C2B7C"/>
    <w:rsid w:val="003D1B27"/>
    <w:rsid w:val="003E0AE5"/>
    <w:rsid w:val="003E0B97"/>
    <w:rsid w:val="003E1AB5"/>
    <w:rsid w:val="003E3037"/>
    <w:rsid w:val="003E553E"/>
    <w:rsid w:val="003E65A0"/>
    <w:rsid w:val="003E6BD6"/>
    <w:rsid w:val="003F033C"/>
    <w:rsid w:val="003F0770"/>
    <w:rsid w:val="003F1618"/>
    <w:rsid w:val="003F1834"/>
    <w:rsid w:val="00403C96"/>
    <w:rsid w:val="00404562"/>
    <w:rsid w:val="004067B3"/>
    <w:rsid w:val="0041053A"/>
    <w:rsid w:val="00410F6B"/>
    <w:rsid w:val="004151D9"/>
    <w:rsid w:val="00415896"/>
    <w:rsid w:val="00420243"/>
    <w:rsid w:val="004321B0"/>
    <w:rsid w:val="00434F55"/>
    <w:rsid w:val="00446911"/>
    <w:rsid w:val="004541F8"/>
    <w:rsid w:val="004551F7"/>
    <w:rsid w:val="0045679B"/>
    <w:rsid w:val="004622EE"/>
    <w:rsid w:val="004A2556"/>
    <w:rsid w:val="004A66EA"/>
    <w:rsid w:val="004C0258"/>
    <w:rsid w:val="004C23E2"/>
    <w:rsid w:val="004E21C4"/>
    <w:rsid w:val="004E67D8"/>
    <w:rsid w:val="004E6E25"/>
    <w:rsid w:val="004E7069"/>
    <w:rsid w:val="004F2765"/>
    <w:rsid w:val="00503C9E"/>
    <w:rsid w:val="00503D9D"/>
    <w:rsid w:val="00505933"/>
    <w:rsid w:val="0051174A"/>
    <w:rsid w:val="005124CD"/>
    <w:rsid w:val="00516349"/>
    <w:rsid w:val="00516550"/>
    <w:rsid w:val="00516870"/>
    <w:rsid w:val="00524675"/>
    <w:rsid w:val="00526FD7"/>
    <w:rsid w:val="00553BC9"/>
    <w:rsid w:val="00554D47"/>
    <w:rsid w:val="00572655"/>
    <w:rsid w:val="00572990"/>
    <w:rsid w:val="00573948"/>
    <w:rsid w:val="0057434C"/>
    <w:rsid w:val="005752D6"/>
    <w:rsid w:val="00576AEB"/>
    <w:rsid w:val="0058045D"/>
    <w:rsid w:val="0058053A"/>
    <w:rsid w:val="005805FF"/>
    <w:rsid w:val="00580A6A"/>
    <w:rsid w:val="0058341D"/>
    <w:rsid w:val="00584617"/>
    <w:rsid w:val="00591603"/>
    <w:rsid w:val="00593712"/>
    <w:rsid w:val="005A18FE"/>
    <w:rsid w:val="005A2BEB"/>
    <w:rsid w:val="005A2FDF"/>
    <w:rsid w:val="005A4BD3"/>
    <w:rsid w:val="005A78F1"/>
    <w:rsid w:val="005B2F23"/>
    <w:rsid w:val="005D4021"/>
    <w:rsid w:val="005D7981"/>
    <w:rsid w:val="005E5419"/>
    <w:rsid w:val="005E7DE2"/>
    <w:rsid w:val="005F2917"/>
    <w:rsid w:val="00601A88"/>
    <w:rsid w:val="00602C22"/>
    <w:rsid w:val="00603A01"/>
    <w:rsid w:val="006055CE"/>
    <w:rsid w:val="00614364"/>
    <w:rsid w:val="00615F2C"/>
    <w:rsid w:val="006165D4"/>
    <w:rsid w:val="00624BB9"/>
    <w:rsid w:val="006365F9"/>
    <w:rsid w:val="00643B80"/>
    <w:rsid w:val="006531F2"/>
    <w:rsid w:val="00660042"/>
    <w:rsid w:val="0066709C"/>
    <w:rsid w:val="006838E0"/>
    <w:rsid w:val="006856CB"/>
    <w:rsid w:val="00686803"/>
    <w:rsid w:val="00692BE4"/>
    <w:rsid w:val="00696171"/>
    <w:rsid w:val="006964B7"/>
    <w:rsid w:val="00697334"/>
    <w:rsid w:val="006A6D48"/>
    <w:rsid w:val="006B34DB"/>
    <w:rsid w:val="006E1673"/>
    <w:rsid w:val="006E4A8C"/>
    <w:rsid w:val="006F5CCE"/>
    <w:rsid w:val="006F74C4"/>
    <w:rsid w:val="0070052E"/>
    <w:rsid w:val="00702D02"/>
    <w:rsid w:val="00706C52"/>
    <w:rsid w:val="0071465E"/>
    <w:rsid w:val="0071480D"/>
    <w:rsid w:val="007219BF"/>
    <w:rsid w:val="00723766"/>
    <w:rsid w:val="0072594D"/>
    <w:rsid w:val="00726C58"/>
    <w:rsid w:val="007309B7"/>
    <w:rsid w:val="00732DEE"/>
    <w:rsid w:val="0074143C"/>
    <w:rsid w:val="00746108"/>
    <w:rsid w:val="0076490A"/>
    <w:rsid w:val="0077037D"/>
    <w:rsid w:val="007820A1"/>
    <w:rsid w:val="00785F99"/>
    <w:rsid w:val="0079492F"/>
    <w:rsid w:val="007A2267"/>
    <w:rsid w:val="007A7536"/>
    <w:rsid w:val="007B046E"/>
    <w:rsid w:val="007B2AA8"/>
    <w:rsid w:val="007B79D3"/>
    <w:rsid w:val="007E540B"/>
    <w:rsid w:val="007E66BF"/>
    <w:rsid w:val="007F16C3"/>
    <w:rsid w:val="007F22E5"/>
    <w:rsid w:val="007F37B2"/>
    <w:rsid w:val="00801E01"/>
    <w:rsid w:val="0080225D"/>
    <w:rsid w:val="00805704"/>
    <w:rsid w:val="0080647E"/>
    <w:rsid w:val="008070BE"/>
    <w:rsid w:val="00817999"/>
    <w:rsid w:val="00825A6D"/>
    <w:rsid w:val="00826950"/>
    <w:rsid w:val="008361C8"/>
    <w:rsid w:val="00837075"/>
    <w:rsid w:val="008409D8"/>
    <w:rsid w:val="00841217"/>
    <w:rsid w:val="00841815"/>
    <w:rsid w:val="0084373A"/>
    <w:rsid w:val="00855977"/>
    <w:rsid w:val="008616D1"/>
    <w:rsid w:val="00864E57"/>
    <w:rsid w:val="00873BB9"/>
    <w:rsid w:val="00874C80"/>
    <w:rsid w:val="0087555D"/>
    <w:rsid w:val="0088224B"/>
    <w:rsid w:val="008858C2"/>
    <w:rsid w:val="00890BF2"/>
    <w:rsid w:val="00891609"/>
    <w:rsid w:val="008A376B"/>
    <w:rsid w:val="008A78A4"/>
    <w:rsid w:val="008B0AAA"/>
    <w:rsid w:val="008C08BC"/>
    <w:rsid w:val="008C59B7"/>
    <w:rsid w:val="008C5AA4"/>
    <w:rsid w:val="008D4CE6"/>
    <w:rsid w:val="008D5411"/>
    <w:rsid w:val="008E597E"/>
    <w:rsid w:val="00901AA8"/>
    <w:rsid w:val="009247C6"/>
    <w:rsid w:val="00926DF0"/>
    <w:rsid w:val="009427A6"/>
    <w:rsid w:val="0094400E"/>
    <w:rsid w:val="00950FA2"/>
    <w:rsid w:val="00951442"/>
    <w:rsid w:val="0095182B"/>
    <w:rsid w:val="009554E8"/>
    <w:rsid w:val="00955FC6"/>
    <w:rsid w:val="009569A2"/>
    <w:rsid w:val="00956E18"/>
    <w:rsid w:val="00960330"/>
    <w:rsid w:val="00961F16"/>
    <w:rsid w:val="00962F18"/>
    <w:rsid w:val="00963543"/>
    <w:rsid w:val="00963DCD"/>
    <w:rsid w:val="00965FE7"/>
    <w:rsid w:val="00976541"/>
    <w:rsid w:val="009779EA"/>
    <w:rsid w:val="009802D9"/>
    <w:rsid w:val="00980C9C"/>
    <w:rsid w:val="00985DC0"/>
    <w:rsid w:val="00987BD5"/>
    <w:rsid w:val="009A033D"/>
    <w:rsid w:val="009A1005"/>
    <w:rsid w:val="009A4B68"/>
    <w:rsid w:val="009B1F70"/>
    <w:rsid w:val="009B644B"/>
    <w:rsid w:val="009B6823"/>
    <w:rsid w:val="009B762C"/>
    <w:rsid w:val="009C0C12"/>
    <w:rsid w:val="009D6B14"/>
    <w:rsid w:val="009E14D3"/>
    <w:rsid w:val="009E24EC"/>
    <w:rsid w:val="009E7326"/>
    <w:rsid w:val="009F1515"/>
    <w:rsid w:val="009F5D1C"/>
    <w:rsid w:val="009F5FBF"/>
    <w:rsid w:val="009F6014"/>
    <w:rsid w:val="00A03C81"/>
    <w:rsid w:val="00A05C48"/>
    <w:rsid w:val="00A10778"/>
    <w:rsid w:val="00A13FEB"/>
    <w:rsid w:val="00A173D0"/>
    <w:rsid w:val="00A21D89"/>
    <w:rsid w:val="00A2291F"/>
    <w:rsid w:val="00A31FCD"/>
    <w:rsid w:val="00A4451C"/>
    <w:rsid w:val="00A44A60"/>
    <w:rsid w:val="00A44F8E"/>
    <w:rsid w:val="00A4594F"/>
    <w:rsid w:val="00A55AE5"/>
    <w:rsid w:val="00A70031"/>
    <w:rsid w:val="00A7246B"/>
    <w:rsid w:val="00A72F06"/>
    <w:rsid w:val="00A81515"/>
    <w:rsid w:val="00A86546"/>
    <w:rsid w:val="00A86F08"/>
    <w:rsid w:val="00A87D36"/>
    <w:rsid w:val="00A90DB1"/>
    <w:rsid w:val="00A9150E"/>
    <w:rsid w:val="00A918C4"/>
    <w:rsid w:val="00A92742"/>
    <w:rsid w:val="00A93D9F"/>
    <w:rsid w:val="00A968BF"/>
    <w:rsid w:val="00AA05D4"/>
    <w:rsid w:val="00AA0641"/>
    <w:rsid w:val="00AA12E8"/>
    <w:rsid w:val="00AB3F15"/>
    <w:rsid w:val="00AC1A16"/>
    <w:rsid w:val="00AC25BD"/>
    <w:rsid w:val="00AC38CB"/>
    <w:rsid w:val="00AD3812"/>
    <w:rsid w:val="00AE2704"/>
    <w:rsid w:val="00AE47AE"/>
    <w:rsid w:val="00AE5EEF"/>
    <w:rsid w:val="00AF7CFC"/>
    <w:rsid w:val="00B0519A"/>
    <w:rsid w:val="00B05982"/>
    <w:rsid w:val="00B069C1"/>
    <w:rsid w:val="00B10CAE"/>
    <w:rsid w:val="00B12F34"/>
    <w:rsid w:val="00B304BB"/>
    <w:rsid w:val="00B36F8E"/>
    <w:rsid w:val="00B40083"/>
    <w:rsid w:val="00B40F31"/>
    <w:rsid w:val="00B45CA1"/>
    <w:rsid w:val="00B71202"/>
    <w:rsid w:val="00B74370"/>
    <w:rsid w:val="00B8295A"/>
    <w:rsid w:val="00B84954"/>
    <w:rsid w:val="00B90C5D"/>
    <w:rsid w:val="00B93AE0"/>
    <w:rsid w:val="00B96EA6"/>
    <w:rsid w:val="00BA2175"/>
    <w:rsid w:val="00BA3BED"/>
    <w:rsid w:val="00BA4874"/>
    <w:rsid w:val="00BA67CC"/>
    <w:rsid w:val="00BB222B"/>
    <w:rsid w:val="00BB3C5A"/>
    <w:rsid w:val="00BD03B4"/>
    <w:rsid w:val="00BD6E6D"/>
    <w:rsid w:val="00BE15F2"/>
    <w:rsid w:val="00BF2F0F"/>
    <w:rsid w:val="00C0186A"/>
    <w:rsid w:val="00C02F85"/>
    <w:rsid w:val="00C074A7"/>
    <w:rsid w:val="00C10E93"/>
    <w:rsid w:val="00C24557"/>
    <w:rsid w:val="00C246A6"/>
    <w:rsid w:val="00C25E6D"/>
    <w:rsid w:val="00C33F04"/>
    <w:rsid w:val="00C349BF"/>
    <w:rsid w:val="00C503B1"/>
    <w:rsid w:val="00C504C8"/>
    <w:rsid w:val="00C65BA4"/>
    <w:rsid w:val="00C66CD6"/>
    <w:rsid w:val="00C7344D"/>
    <w:rsid w:val="00C938FC"/>
    <w:rsid w:val="00C9525B"/>
    <w:rsid w:val="00C97718"/>
    <w:rsid w:val="00CA2C18"/>
    <w:rsid w:val="00CA336C"/>
    <w:rsid w:val="00CA71A7"/>
    <w:rsid w:val="00CB1FB9"/>
    <w:rsid w:val="00CB2C25"/>
    <w:rsid w:val="00CB30D7"/>
    <w:rsid w:val="00CB379F"/>
    <w:rsid w:val="00CB758F"/>
    <w:rsid w:val="00CC0D45"/>
    <w:rsid w:val="00CF272F"/>
    <w:rsid w:val="00CF6B77"/>
    <w:rsid w:val="00CF7571"/>
    <w:rsid w:val="00CF75A7"/>
    <w:rsid w:val="00D0698A"/>
    <w:rsid w:val="00D21453"/>
    <w:rsid w:val="00D2176D"/>
    <w:rsid w:val="00D25E0A"/>
    <w:rsid w:val="00D2615B"/>
    <w:rsid w:val="00D27CA6"/>
    <w:rsid w:val="00D3023C"/>
    <w:rsid w:val="00D46F06"/>
    <w:rsid w:val="00D50801"/>
    <w:rsid w:val="00D55ABA"/>
    <w:rsid w:val="00D635D6"/>
    <w:rsid w:val="00D6536F"/>
    <w:rsid w:val="00D81C0A"/>
    <w:rsid w:val="00D87050"/>
    <w:rsid w:val="00D90B26"/>
    <w:rsid w:val="00D960FF"/>
    <w:rsid w:val="00DA3082"/>
    <w:rsid w:val="00DA4900"/>
    <w:rsid w:val="00DB5927"/>
    <w:rsid w:val="00DD2B14"/>
    <w:rsid w:val="00DE00A1"/>
    <w:rsid w:val="00E00033"/>
    <w:rsid w:val="00E04835"/>
    <w:rsid w:val="00E1387E"/>
    <w:rsid w:val="00E25DCB"/>
    <w:rsid w:val="00E26B39"/>
    <w:rsid w:val="00E31F62"/>
    <w:rsid w:val="00E32543"/>
    <w:rsid w:val="00E3612E"/>
    <w:rsid w:val="00E4188C"/>
    <w:rsid w:val="00E43184"/>
    <w:rsid w:val="00E6173D"/>
    <w:rsid w:val="00E6262D"/>
    <w:rsid w:val="00E62B09"/>
    <w:rsid w:val="00E65E63"/>
    <w:rsid w:val="00E7058E"/>
    <w:rsid w:val="00E7204A"/>
    <w:rsid w:val="00E72420"/>
    <w:rsid w:val="00E82F93"/>
    <w:rsid w:val="00E87362"/>
    <w:rsid w:val="00E9620B"/>
    <w:rsid w:val="00EA16B5"/>
    <w:rsid w:val="00EA1A18"/>
    <w:rsid w:val="00EA6772"/>
    <w:rsid w:val="00EB46E0"/>
    <w:rsid w:val="00EC26B1"/>
    <w:rsid w:val="00ED2AB0"/>
    <w:rsid w:val="00ED671A"/>
    <w:rsid w:val="00ED7816"/>
    <w:rsid w:val="00EE1F46"/>
    <w:rsid w:val="00EE2850"/>
    <w:rsid w:val="00EE31E9"/>
    <w:rsid w:val="00EF496B"/>
    <w:rsid w:val="00F02EC0"/>
    <w:rsid w:val="00F042ED"/>
    <w:rsid w:val="00F075E4"/>
    <w:rsid w:val="00F17472"/>
    <w:rsid w:val="00F42B54"/>
    <w:rsid w:val="00F43299"/>
    <w:rsid w:val="00F47154"/>
    <w:rsid w:val="00F47A32"/>
    <w:rsid w:val="00F502C8"/>
    <w:rsid w:val="00F57F99"/>
    <w:rsid w:val="00F6579C"/>
    <w:rsid w:val="00F67D2C"/>
    <w:rsid w:val="00F73405"/>
    <w:rsid w:val="00F749A3"/>
    <w:rsid w:val="00F7522A"/>
    <w:rsid w:val="00F754D4"/>
    <w:rsid w:val="00F80474"/>
    <w:rsid w:val="00F81854"/>
    <w:rsid w:val="00F83A63"/>
    <w:rsid w:val="00F85A7A"/>
    <w:rsid w:val="00F90A15"/>
    <w:rsid w:val="00F929B5"/>
    <w:rsid w:val="00F949DD"/>
    <w:rsid w:val="00FA0C58"/>
    <w:rsid w:val="00FA7B9E"/>
    <w:rsid w:val="00FB028E"/>
    <w:rsid w:val="00FB3CAA"/>
    <w:rsid w:val="00FB7CC5"/>
    <w:rsid w:val="00FC4FB3"/>
    <w:rsid w:val="00FE0ACA"/>
    <w:rsid w:val="00FE3D6E"/>
    <w:rsid w:val="00FE3F9F"/>
    <w:rsid w:val="00FE771F"/>
    <w:rsid w:val="00FF6389"/>
    <w:rsid w:val="00FF73F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EE218C2"/>
  <w15:chartTrackingRefBased/>
  <w15:docId w15:val="{24B058B3-30B1-4B4C-B5BB-D6E75D9D31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ES" w:eastAsia="en-US" w:bidi="ar-SA"/>
      </w:rPr>
    </w:rPrDefault>
    <w:pPrDefault>
      <w:pPr>
        <w:spacing w:after="160" w:line="252"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05D4"/>
    <w:pPr>
      <w:spacing w:after="200" w:line="240" w:lineRule="auto"/>
    </w:pPr>
    <w:rPr>
      <w:rFonts w:ascii="Times" w:eastAsia="Times New Roman" w:hAnsi="Times" w:cs="Times New Roman"/>
      <w:sz w:val="24"/>
      <w:szCs w:val="20"/>
      <w:lang w:val="en-US"/>
    </w:rPr>
  </w:style>
  <w:style w:type="paragraph" w:styleId="Ttulo1">
    <w:name w:val="heading 1"/>
    <w:basedOn w:val="Normal"/>
    <w:next w:val="Normal"/>
    <w:link w:val="Ttulo1Car"/>
    <w:uiPriority w:val="9"/>
    <w:qFormat/>
    <w:rsid w:val="005752D6"/>
    <w:pPr>
      <w:keepNext/>
      <w:keepLines/>
      <w:spacing w:before="320" w:after="40"/>
      <w:outlineLvl w:val="0"/>
    </w:pPr>
    <w:rPr>
      <w:rFonts w:asciiTheme="majorHAnsi" w:eastAsiaTheme="majorEastAsia" w:hAnsiTheme="majorHAnsi" w:cstheme="majorBidi"/>
      <w:b/>
      <w:bCs/>
      <w:caps/>
      <w:spacing w:val="4"/>
      <w:sz w:val="28"/>
      <w:szCs w:val="28"/>
    </w:rPr>
  </w:style>
  <w:style w:type="paragraph" w:styleId="Ttulo2">
    <w:name w:val="heading 2"/>
    <w:aliases w:val="1.1.1 Subepigrafe"/>
    <w:basedOn w:val="Normal"/>
    <w:next w:val="Normal"/>
    <w:link w:val="Ttulo2Car"/>
    <w:uiPriority w:val="9"/>
    <w:unhideWhenUsed/>
    <w:qFormat/>
    <w:rsid w:val="005752D6"/>
    <w:pPr>
      <w:keepNext/>
      <w:keepLines/>
      <w:spacing w:before="120" w:after="0"/>
      <w:outlineLvl w:val="1"/>
    </w:pPr>
    <w:rPr>
      <w:rFonts w:asciiTheme="majorHAnsi" w:eastAsiaTheme="majorEastAsia" w:hAnsiTheme="majorHAnsi" w:cstheme="majorBidi"/>
      <w:b/>
      <w:bCs/>
      <w:sz w:val="28"/>
      <w:szCs w:val="28"/>
    </w:rPr>
  </w:style>
  <w:style w:type="paragraph" w:styleId="Ttulo3">
    <w:name w:val="heading 3"/>
    <w:basedOn w:val="Normal"/>
    <w:next w:val="Normal"/>
    <w:link w:val="Ttulo3Car"/>
    <w:uiPriority w:val="9"/>
    <w:semiHidden/>
    <w:unhideWhenUsed/>
    <w:qFormat/>
    <w:rsid w:val="005752D6"/>
    <w:pPr>
      <w:keepNext/>
      <w:keepLines/>
      <w:spacing w:before="120" w:after="0"/>
      <w:outlineLvl w:val="2"/>
    </w:pPr>
    <w:rPr>
      <w:rFonts w:asciiTheme="majorHAnsi" w:eastAsiaTheme="majorEastAsia" w:hAnsiTheme="majorHAnsi" w:cstheme="majorBidi"/>
      <w:spacing w:val="4"/>
      <w:szCs w:val="24"/>
    </w:rPr>
  </w:style>
  <w:style w:type="paragraph" w:styleId="Ttulo4">
    <w:name w:val="heading 4"/>
    <w:basedOn w:val="Normal"/>
    <w:next w:val="Normal"/>
    <w:link w:val="Ttulo4Car"/>
    <w:uiPriority w:val="9"/>
    <w:semiHidden/>
    <w:unhideWhenUsed/>
    <w:qFormat/>
    <w:rsid w:val="005752D6"/>
    <w:pPr>
      <w:keepNext/>
      <w:keepLines/>
      <w:spacing w:before="120" w:after="0"/>
      <w:outlineLvl w:val="3"/>
    </w:pPr>
    <w:rPr>
      <w:rFonts w:asciiTheme="majorHAnsi" w:eastAsiaTheme="majorEastAsia" w:hAnsiTheme="majorHAnsi" w:cstheme="majorBidi"/>
      <w:i/>
      <w:iCs/>
      <w:szCs w:val="24"/>
    </w:rPr>
  </w:style>
  <w:style w:type="paragraph" w:styleId="Ttulo5">
    <w:name w:val="heading 5"/>
    <w:basedOn w:val="Normal"/>
    <w:next w:val="Normal"/>
    <w:link w:val="Ttulo5Car"/>
    <w:uiPriority w:val="9"/>
    <w:semiHidden/>
    <w:unhideWhenUsed/>
    <w:qFormat/>
    <w:rsid w:val="005752D6"/>
    <w:pPr>
      <w:keepNext/>
      <w:keepLines/>
      <w:spacing w:before="120" w:after="0"/>
      <w:outlineLvl w:val="4"/>
    </w:pPr>
    <w:rPr>
      <w:rFonts w:asciiTheme="majorHAnsi" w:eastAsiaTheme="majorEastAsia" w:hAnsiTheme="majorHAnsi" w:cstheme="majorBidi"/>
      <w:b/>
      <w:bCs/>
    </w:rPr>
  </w:style>
  <w:style w:type="paragraph" w:styleId="Ttulo6">
    <w:name w:val="heading 6"/>
    <w:basedOn w:val="Normal"/>
    <w:next w:val="Normal"/>
    <w:link w:val="Ttulo6Car"/>
    <w:uiPriority w:val="9"/>
    <w:semiHidden/>
    <w:unhideWhenUsed/>
    <w:qFormat/>
    <w:rsid w:val="005752D6"/>
    <w:pPr>
      <w:keepNext/>
      <w:keepLines/>
      <w:spacing w:before="120" w:after="0"/>
      <w:outlineLvl w:val="5"/>
    </w:pPr>
    <w:rPr>
      <w:rFonts w:asciiTheme="majorHAnsi" w:eastAsiaTheme="majorEastAsia" w:hAnsiTheme="majorHAnsi" w:cstheme="majorBidi"/>
      <w:b/>
      <w:bCs/>
      <w:i/>
      <w:iCs/>
    </w:rPr>
  </w:style>
  <w:style w:type="paragraph" w:styleId="Ttulo7">
    <w:name w:val="heading 7"/>
    <w:basedOn w:val="Normal"/>
    <w:next w:val="Normal"/>
    <w:link w:val="Ttulo7Car"/>
    <w:uiPriority w:val="9"/>
    <w:semiHidden/>
    <w:unhideWhenUsed/>
    <w:qFormat/>
    <w:rsid w:val="005752D6"/>
    <w:pPr>
      <w:keepNext/>
      <w:keepLines/>
      <w:spacing w:before="120" w:after="0"/>
      <w:outlineLvl w:val="6"/>
    </w:pPr>
    <w:rPr>
      <w:i/>
      <w:iCs/>
    </w:rPr>
  </w:style>
  <w:style w:type="paragraph" w:styleId="Ttulo8">
    <w:name w:val="heading 8"/>
    <w:basedOn w:val="Normal"/>
    <w:next w:val="Normal"/>
    <w:link w:val="Ttulo8Car"/>
    <w:uiPriority w:val="9"/>
    <w:semiHidden/>
    <w:unhideWhenUsed/>
    <w:qFormat/>
    <w:rsid w:val="005752D6"/>
    <w:pPr>
      <w:keepNext/>
      <w:keepLines/>
      <w:spacing w:before="120" w:after="0"/>
      <w:outlineLvl w:val="7"/>
    </w:pPr>
    <w:rPr>
      <w:b/>
      <w:bCs/>
    </w:rPr>
  </w:style>
  <w:style w:type="paragraph" w:styleId="Ttulo9">
    <w:name w:val="heading 9"/>
    <w:basedOn w:val="Normal"/>
    <w:next w:val="Normal"/>
    <w:link w:val="Ttulo9Car"/>
    <w:uiPriority w:val="9"/>
    <w:semiHidden/>
    <w:unhideWhenUsed/>
    <w:qFormat/>
    <w:rsid w:val="005752D6"/>
    <w:pPr>
      <w:keepNext/>
      <w:keepLines/>
      <w:spacing w:before="120" w:after="0"/>
      <w:outlineLvl w:val="8"/>
    </w:pPr>
    <w:rPr>
      <w:i/>
      <w:iCs/>
    </w:rPr>
  </w:style>
  <w:style w:type="character" w:default="1" w:styleId="Fuentedeprrafopredeter">
    <w:name w:val="Default Paragraph Font"/>
    <w:uiPriority w:val="1"/>
    <w:semiHidden/>
    <w:unhideWhenUsed/>
    <w:rsid w:val="00AA05D4"/>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rsid w:val="00AA05D4"/>
  </w:style>
  <w:style w:type="character" w:styleId="Hipervnculo">
    <w:name w:val="Hyperlink"/>
    <w:rsid w:val="00AA05D4"/>
    <w:rPr>
      <w:color w:val="0000FF"/>
      <w:u w:val="single"/>
    </w:rPr>
  </w:style>
  <w:style w:type="paragraph" w:styleId="Subttulo">
    <w:name w:val="Subtitle"/>
    <w:aliases w:val="Texto"/>
    <w:basedOn w:val="Normal"/>
    <w:next w:val="Normal"/>
    <w:link w:val="SubttuloCar"/>
    <w:uiPriority w:val="11"/>
    <w:qFormat/>
    <w:rsid w:val="005752D6"/>
    <w:pPr>
      <w:numPr>
        <w:ilvl w:val="1"/>
      </w:numPr>
      <w:spacing w:after="240"/>
      <w:jc w:val="center"/>
    </w:pPr>
    <w:rPr>
      <w:rFonts w:asciiTheme="majorHAnsi" w:eastAsiaTheme="majorEastAsia" w:hAnsiTheme="majorHAnsi" w:cstheme="majorBidi"/>
      <w:szCs w:val="24"/>
    </w:rPr>
  </w:style>
  <w:style w:type="character" w:customStyle="1" w:styleId="SubttuloCar">
    <w:name w:val="Subtítulo Car"/>
    <w:aliases w:val="Texto Car"/>
    <w:basedOn w:val="Fuentedeprrafopredeter"/>
    <w:link w:val="Subttulo"/>
    <w:uiPriority w:val="11"/>
    <w:rsid w:val="005752D6"/>
    <w:rPr>
      <w:rFonts w:asciiTheme="majorHAnsi" w:eastAsiaTheme="majorEastAsia" w:hAnsiTheme="majorHAnsi" w:cstheme="majorBidi"/>
      <w:sz w:val="24"/>
      <w:szCs w:val="24"/>
    </w:rPr>
  </w:style>
  <w:style w:type="paragraph" w:customStyle="1" w:styleId="Titulotabla">
    <w:name w:val="Titulo tabla"/>
    <w:basedOn w:val="Subttulo"/>
    <w:next w:val="Normal"/>
    <w:link w:val="TitulotablaCar"/>
    <w:rsid w:val="006B34DB"/>
    <w:rPr>
      <w:sz w:val="20"/>
    </w:rPr>
  </w:style>
  <w:style w:type="character" w:customStyle="1" w:styleId="TitulotablaCar">
    <w:name w:val="Titulo tabla Car"/>
    <w:basedOn w:val="SubttuloCar"/>
    <w:link w:val="Titulotabla"/>
    <w:rsid w:val="006B34DB"/>
    <w:rPr>
      <w:rFonts w:ascii="Palatino Linotype" w:eastAsiaTheme="minorEastAsia" w:hAnsi="Palatino Linotype" w:cstheme="majorBidi"/>
      <w:sz w:val="20"/>
      <w:szCs w:val="24"/>
    </w:rPr>
  </w:style>
  <w:style w:type="paragraph" w:customStyle="1" w:styleId="Titulofigura">
    <w:name w:val="Titulo figura"/>
    <w:basedOn w:val="Subttulo"/>
    <w:link w:val="TitulofiguraCar"/>
    <w:rsid w:val="006B34DB"/>
    <w:pPr>
      <w:spacing w:before="120" w:after="200"/>
    </w:pPr>
    <w:rPr>
      <w:sz w:val="20"/>
    </w:rPr>
  </w:style>
  <w:style w:type="character" w:customStyle="1" w:styleId="TitulofiguraCar">
    <w:name w:val="Titulo figura Car"/>
    <w:basedOn w:val="SubttuloCar"/>
    <w:link w:val="Titulofigura"/>
    <w:rsid w:val="006B34DB"/>
    <w:rPr>
      <w:rFonts w:ascii="Palatino Linotype" w:eastAsiaTheme="minorEastAsia" w:hAnsi="Palatino Linotype" w:cstheme="majorBidi"/>
      <w:sz w:val="20"/>
      <w:szCs w:val="24"/>
    </w:rPr>
  </w:style>
  <w:style w:type="table" w:styleId="Tabladelista6concolores">
    <w:name w:val="List Table 6 Colorful"/>
    <w:basedOn w:val="Tablanormal"/>
    <w:uiPriority w:val="51"/>
    <w:rsid w:val="006B34DB"/>
    <w:pPr>
      <w:spacing w:after="0" w:line="240" w:lineRule="auto"/>
    </w:pPr>
    <w:rPr>
      <w:rFonts w:ascii="Palatino Linotype" w:hAnsi="Palatino Linotype"/>
      <w:color w:val="000000" w:themeColor="text1"/>
      <w:sz w:val="28"/>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tulo2Car">
    <w:name w:val="Título 2 Car"/>
    <w:aliases w:val="1.1.1 Subepigrafe Car"/>
    <w:basedOn w:val="Fuentedeprrafopredeter"/>
    <w:link w:val="Ttulo2"/>
    <w:uiPriority w:val="9"/>
    <w:rsid w:val="005752D6"/>
    <w:rPr>
      <w:rFonts w:asciiTheme="majorHAnsi" w:eastAsiaTheme="majorEastAsia" w:hAnsiTheme="majorHAnsi" w:cstheme="majorBidi"/>
      <w:b/>
      <w:bCs/>
      <w:sz w:val="28"/>
      <w:szCs w:val="28"/>
    </w:rPr>
  </w:style>
  <w:style w:type="character" w:customStyle="1" w:styleId="Ttulo3Car">
    <w:name w:val="Título 3 Car"/>
    <w:basedOn w:val="Fuentedeprrafopredeter"/>
    <w:link w:val="Ttulo3"/>
    <w:uiPriority w:val="9"/>
    <w:semiHidden/>
    <w:rsid w:val="005752D6"/>
    <w:rPr>
      <w:rFonts w:asciiTheme="majorHAnsi" w:eastAsiaTheme="majorEastAsia" w:hAnsiTheme="majorHAnsi" w:cstheme="majorBidi"/>
      <w:spacing w:val="4"/>
      <w:sz w:val="24"/>
      <w:szCs w:val="24"/>
    </w:rPr>
  </w:style>
  <w:style w:type="table" w:styleId="Tablaconcuadrcula">
    <w:name w:val="Table Grid"/>
    <w:basedOn w:val="Tablanormal"/>
    <w:uiPriority w:val="39"/>
    <w:rsid w:val="00601A8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
    <w:name w:val="Sombreado claro1"/>
    <w:basedOn w:val="Tablanormal"/>
    <w:uiPriority w:val="60"/>
    <w:rsid w:val="004067B3"/>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extodeglobo">
    <w:name w:val="Balloon Text"/>
    <w:basedOn w:val="Normal"/>
    <w:link w:val="TextodegloboCar"/>
    <w:semiHidden/>
    <w:rsid w:val="00AA05D4"/>
    <w:rPr>
      <w:rFonts w:ascii="Tahoma" w:hAnsi="Tahoma" w:cs="Tahoma"/>
      <w:sz w:val="16"/>
      <w:szCs w:val="16"/>
    </w:rPr>
  </w:style>
  <w:style w:type="character" w:customStyle="1" w:styleId="TextodegloboCar">
    <w:name w:val="Texto de globo Car"/>
    <w:basedOn w:val="Fuentedeprrafopredeter"/>
    <w:link w:val="Textodeglobo"/>
    <w:semiHidden/>
    <w:rsid w:val="001040A2"/>
    <w:rPr>
      <w:rFonts w:ascii="Tahoma" w:eastAsia="Times New Roman" w:hAnsi="Tahoma" w:cs="Tahoma"/>
      <w:sz w:val="16"/>
      <w:szCs w:val="16"/>
      <w:lang w:val="en-US"/>
    </w:rPr>
  </w:style>
  <w:style w:type="character" w:styleId="Nmerodelnea">
    <w:name w:val="line number"/>
    <w:basedOn w:val="Fuentedeprrafopredeter"/>
    <w:uiPriority w:val="99"/>
    <w:semiHidden/>
    <w:unhideWhenUsed/>
    <w:rsid w:val="001040A2"/>
  </w:style>
  <w:style w:type="character" w:styleId="Refdecomentario">
    <w:name w:val="annotation reference"/>
    <w:basedOn w:val="Fuentedeprrafopredeter"/>
    <w:uiPriority w:val="99"/>
    <w:semiHidden/>
    <w:unhideWhenUsed/>
    <w:rsid w:val="00390B66"/>
    <w:rPr>
      <w:sz w:val="16"/>
      <w:szCs w:val="16"/>
    </w:rPr>
  </w:style>
  <w:style w:type="paragraph" w:styleId="Textocomentario">
    <w:name w:val="annotation text"/>
    <w:basedOn w:val="Normal"/>
    <w:link w:val="TextocomentarioCar"/>
    <w:uiPriority w:val="99"/>
    <w:semiHidden/>
    <w:unhideWhenUsed/>
    <w:rsid w:val="00390B66"/>
    <w:rPr>
      <w:sz w:val="20"/>
    </w:rPr>
  </w:style>
  <w:style w:type="character" w:customStyle="1" w:styleId="TextocomentarioCar">
    <w:name w:val="Texto comentario Car"/>
    <w:basedOn w:val="Fuentedeprrafopredeter"/>
    <w:link w:val="Textocomentario"/>
    <w:uiPriority w:val="99"/>
    <w:semiHidden/>
    <w:rsid w:val="00390B66"/>
    <w:rPr>
      <w:sz w:val="20"/>
      <w:szCs w:val="20"/>
    </w:rPr>
  </w:style>
  <w:style w:type="paragraph" w:styleId="Asuntodelcomentario">
    <w:name w:val="annotation subject"/>
    <w:basedOn w:val="Textocomentario"/>
    <w:next w:val="Textocomentario"/>
    <w:link w:val="AsuntodelcomentarioCar"/>
    <w:uiPriority w:val="99"/>
    <w:semiHidden/>
    <w:unhideWhenUsed/>
    <w:rsid w:val="00390B66"/>
    <w:rPr>
      <w:b/>
      <w:bCs/>
    </w:rPr>
  </w:style>
  <w:style w:type="character" w:customStyle="1" w:styleId="AsuntodelcomentarioCar">
    <w:name w:val="Asunto del comentario Car"/>
    <w:basedOn w:val="TextocomentarioCar"/>
    <w:link w:val="Asuntodelcomentario"/>
    <w:uiPriority w:val="99"/>
    <w:semiHidden/>
    <w:rsid w:val="00390B66"/>
    <w:rPr>
      <w:b/>
      <w:bCs/>
      <w:sz w:val="20"/>
      <w:szCs w:val="20"/>
    </w:rPr>
  </w:style>
  <w:style w:type="paragraph" w:styleId="Prrafodelista">
    <w:name w:val="List Paragraph"/>
    <w:basedOn w:val="Normal"/>
    <w:uiPriority w:val="34"/>
    <w:qFormat/>
    <w:rsid w:val="004C0258"/>
    <w:pPr>
      <w:ind w:left="720"/>
      <w:contextualSpacing/>
    </w:pPr>
  </w:style>
  <w:style w:type="character" w:customStyle="1" w:styleId="Ttulo1Car">
    <w:name w:val="Título 1 Car"/>
    <w:basedOn w:val="Fuentedeprrafopredeter"/>
    <w:link w:val="Ttulo1"/>
    <w:uiPriority w:val="9"/>
    <w:rsid w:val="005752D6"/>
    <w:rPr>
      <w:rFonts w:asciiTheme="majorHAnsi" w:eastAsiaTheme="majorEastAsia" w:hAnsiTheme="majorHAnsi" w:cstheme="majorBidi"/>
      <w:b/>
      <w:bCs/>
      <w:caps/>
      <w:spacing w:val="4"/>
      <w:sz w:val="28"/>
      <w:szCs w:val="28"/>
    </w:rPr>
  </w:style>
  <w:style w:type="character" w:customStyle="1" w:styleId="Ttulo4Car">
    <w:name w:val="Título 4 Car"/>
    <w:basedOn w:val="Fuentedeprrafopredeter"/>
    <w:link w:val="Ttulo4"/>
    <w:uiPriority w:val="9"/>
    <w:semiHidden/>
    <w:rsid w:val="005752D6"/>
    <w:rPr>
      <w:rFonts w:asciiTheme="majorHAnsi" w:eastAsiaTheme="majorEastAsia" w:hAnsiTheme="majorHAnsi" w:cstheme="majorBidi"/>
      <w:i/>
      <w:iCs/>
      <w:sz w:val="24"/>
      <w:szCs w:val="24"/>
    </w:rPr>
  </w:style>
  <w:style w:type="character" w:customStyle="1" w:styleId="Ttulo5Car">
    <w:name w:val="Título 5 Car"/>
    <w:basedOn w:val="Fuentedeprrafopredeter"/>
    <w:link w:val="Ttulo5"/>
    <w:uiPriority w:val="9"/>
    <w:semiHidden/>
    <w:rsid w:val="005752D6"/>
    <w:rPr>
      <w:rFonts w:asciiTheme="majorHAnsi" w:eastAsiaTheme="majorEastAsia" w:hAnsiTheme="majorHAnsi" w:cstheme="majorBidi"/>
      <w:b/>
      <w:bCs/>
    </w:rPr>
  </w:style>
  <w:style w:type="character" w:customStyle="1" w:styleId="Ttulo6Car">
    <w:name w:val="Título 6 Car"/>
    <w:basedOn w:val="Fuentedeprrafopredeter"/>
    <w:link w:val="Ttulo6"/>
    <w:uiPriority w:val="9"/>
    <w:semiHidden/>
    <w:rsid w:val="005752D6"/>
    <w:rPr>
      <w:rFonts w:asciiTheme="majorHAnsi" w:eastAsiaTheme="majorEastAsia" w:hAnsiTheme="majorHAnsi" w:cstheme="majorBidi"/>
      <w:b/>
      <w:bCs/>
      <w:i/>
      <w:iCs/>
    </w:rPr>
  </w:style>
  <w:style w:type="character" w:customStyle="1" w:styleId="Ttulo7Car">
    <w:name w:val="Título 7 Car"/>
    <w:basedOn w:val="Fuentedeprrafopredeter"/>
    <w:link w:val="Ttulo7"/>
    <w:uiPriority w:val="9"/>
    <w:semiHidden/>
    <w:rsid w:val="005752D6"/>
    <w:rPr>
      <w:i/>
      <w:iCs/>
    </w:rPr>
  </w:style>
  <w:style w:type="character" w:customStyle="1" w:styleId="Ttulo8Car">
    <w:name w:val="Título 8 Car"/>
    <w:basedOn w:val="Fuentedeprrafopredeter"/>
    <w:link w:val="Ttulo8"/>
    <w:uiPriority w:val="9"/>
    <w:semiHidden/>
    <w:rsid w:val="005752D6"/>
    <w:rPr>
      <w:b/>
      <w:bCs/>
    </w:rPr>
  </w:style>
  <w:style w:type="character" w:customStyle="1" w:styleId="Ttulo9Car">
    <w:name w:val="Título 9 Car"/>
    <w:basedOn w:val="Fuentedeprrafopredeter"/>
    <w:link w:val="Ttulo9"/>
    <w:uiPriority w:val="9"/>
    <w:semiHidden/>
    <w:rsid w:val="005752D6"/>
    <w:rPr>
      <w:i/>
      <w:iCs/>
    </w:rPr>
  </w:style>
  <w:style w:type="paragraph" w:styleId="Descripcin">
    <w:name w:val="caption"/>
    <w:basedOn w:val="Normal"/>
    <w:next w:val="Normal"/>
    <w:uiPriority w:val="35"/>
    <w:semiHidden/>
    <w:unhideWhenUsed/>
    <w:qFormat/>
    <w:rsid w:val="005752D6"/>
    <w:rPr>
      <w:b/>
      <w:bCs/>
      <w:sz w:val="18"/>
      <w:szCs w:val="18"/>
    </w:rPr>
  </w:style>
  <w:style w:type="paragraph" w:styleId="Ttulo">
    <w:name w:val="Title"/>
    <w:basedOn w:val="Normal"/>
    <w:next w:val="Normal"/>
    <w:link w:val="TtuloCar"/>
    <w:uiPriority w:val="10"/>
    <w:qFormat/>
    <w:rsid w:val="005752D6"/>
    <w:pPr>
      <w:spacing w:after="0"/>
      <w:contextualSpacing/>
      <w:jc w:val="center"/>
    </w:pPr>
    <w:rPr>
      <w:rFonts w:asciiTheme="majorHAnsi" w:eastAsiaTheme="majorEastAsia" w:hAnsiTheme="majorHAnsi" w:cstheme="majorBidi"/>
      <w:b/>
      <w:bCs/>
      <w:spacing w:val="-7"/>
      <w:sz w:val="48"/>
      <w:szCs w:val="48"/>
    </w:rPr>
  </w:style>
  <w:style w:type="character" w:customStyle="1" w:styleId="TtuloCar">
    <w:name w:val="Título Car"/>
    <w:basedOn w:val="Fuentedeprrafopredeter"/>
    <w:link w:val="Ttulo"/>
    <w:uiPriority w:val="10"/>
    <w:rsid w:val="005752D6"/>
    <w:rPr>
      <w:rFonts w:asciiTheme="majorHAnsi" w:eastAsiaTheme="majorEastAsia" w:hAnsiTheme="majorHAnsi" w:cstheme="majorBidi"/>
      <w:b/>
      <w:bCs/>
      <w:spacing w:val="-7"/>
      <w:sz w:val="48"/>
      <w:szCs w:val="48"/>
    </w:rPr>
  </w:style>
  <w:style w:type="character" w:styleId="Textoennegrita">
    <w:name w:val="Strong"/>
    <w:basedOn w:val="Fuentedeprrafopredeter"/>
    <w:uiPriority w:val="22"/>
    <w:qFormat/>
    <w:rsid w:val="005752D6"/>
    <w:rPr>
      <w:b/>
      <w:bCs/>
      <w:color w:val="auto"/>
    </w:rPr>
  </w:style>
  <w:style w:type="character" w:styleId="nfasis">
    <w:name w:val="Emphasis"/>
    <w:basedOn w:val="Fuentedeprrafopredeter"/>
    <w:uiPriority w:val="20"/>
    <w:qFormat/>
    <w:rsid w:val="005752D6"/>
    <w:rPr>
      <w:i/>
      <w:iCs/>
      <w:color w:val="auto"/>
    </w:rPr>
  </w:style>
  <w:style w:type="paragraph" w:styleId="Sinespaciado">
    <w:name w:val="No Spacing"/>
    <w:uiPriority w:val="1"/>
    <w:qFormat/>
    <w:rsid w:val="005752D6"/>
    <w:pPr>
      <w:spacing w:after="0" w:line="240" w:lineRule="auto"/>
    </w:pPr>
  </w:style>
  <w:style w:type="paragraph" w:styleId="Cita">
    <w:name w:val="Quote"/>
    <w:basedOn w:val="Normal"/>
    <w:next w:val="Normal"/>
    <w:link w:val="CitaCar"/>
    <w:uiPriority w:val="29"/>
    <w:qFormat/>
    <w:rsid w:val="005752D6"/>
    <w:pPr>
      <w:spacing w:before="200" w:line="264" w:lineRule="auto"/>
      <w:ind w:left="864" w:right="864"/>
      <w:jc w:val="center"/>
    </w:pPr>
    <w:rPr>
      <w:rFonts w:asciiTheme="majorHAnsi" w:eastAsiaTheme="majorEastAsia" w:hAnsiTheme="majorHAnsi" w:cstheme="majorBidi"/>
      <w:i/>
      <w:iCs/>
      <w:szCs w:val="24"/>
    </w:rPr>
  </w:style>
  <w:style w:type="character" w:customStyle="1" w:styleId="CitaCar">
    <w:name w:val="Cita Car"/>
    <w:basedOn w:val="Fuentedeprrafopredeter"/>
    <w:link w:val="Cita"/>
    <w:uiPriority w:val="29"/>
    <w:rsid w:val="005752D6"/>
    <w:rPr>
      <w:rFonts w:asciiTheme="majorHAnsi" w:eastAsiaTheme="majorEastAsia" w:hAnsiTheme="majorHAnsi" w:cstheme="majorBidi"/>
      <w:i/>
      <w:iCs/>
      <w:sz w:val="24"/>
      <w:szCs w:val="24"/>
    </w:rPr>
  </w:style>
  <w:style w:type="paragraph" w:styleId="Citadestacada">
    <w:name w:val="Intense Quote"/>
    <w:basedOn w:val="Normal"/>
    <w:next w:val="Normal"/>
    <w:link w:val="CitadestacadaCar"/>
    <w:uiPriority w:val="30"/>
    <w:qFormat/>
    <w:rsid w:val="005752D6"/>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CitadestacadaCar">
    <w:name w:val="Cita destacada Car"/>
    <w:basedOn w:val="Fuentedeprrafopredeter"/>
    <w:link w:val="Citadestacada"/>
    <w:uiPriority w:val="30"/>
    <w:rsid w:val="005752D6"/>
    <w:rPr>
      <w:rFonts w:asciiTheme="majorHAnsi" w:eastAsiaTheme="majorEastAsia" w:hAnsiTheme="majorHAnsi" w:cstheme="majorBidi"/>
      <w:sz w:val="26"/>
      <w:szCs w:val="26"/>
    </w:rPr>
  </w:style>
  <w:style w:type="character" w:styleId="nfasissutil">
    <w:name w:val="Subtle Emphasis"/>
    <w:basedOn w:val="Fuentedeprrafopredeter"/>
    <w:uiPriority w:val="19"/>
    <w:qFormat/>
    <w:rsid w:val="005752D6"/>
    <w:rPr>
      <w:i/>
      <w:iCs/>
      <w:color w:val="auto"/>
    </w:rPr>
  </w:style>
  <w:style w:type="character" w:styleId="nfasisintenso">
    <w:name w:val="Intense Emphasis"/>
    <w:basedOn w:val="Fuentedeprrafopredeter"/>
    <w:uiPriority w:val="21"/>
    <w:qFormat/>
    <w:rsid w:val="005752D6"/>
    <w:rPr>
      <w:b/>
      <w:bCs/>
      <w:i/>
      <w:iCs/>
      <w:color w:val="auto"/>
    </w:rPr>
  </w:style>
  <w:style w:type="character" w:styleId="Referenciasutil">
    <w:name w:val="Subtle Reference"/>
    <w:basedOn w:val="Fuentedeprrafopredeter"/>
    <w:uiPriority w:val="31"/>
    <w:qFormat/>
    <w:rsid w:val="005752D6"/>
    <w:rPr>
      <w:smallCaps/>
      <w:color w:val="auto"/>
      <w:u w:val="single" w:color="7F7F7F" w:themeColor="text1" w:themeTint="80"/>
    </w:rPr>
  </w:style>
  <w:style w:type="character" w:styleId="Referenciaintensa">
    <w:name w:val="Intense Reference"/>
    <w:basedOn w:val="Fuentedeprrafopredeter"/>
    <w:uiPriority w:val="32"/>
    <w:qFormat/>
    <w:rsid w:val="005752D6"/>
    <w:rPr>
      <w:b/>
      <w:bCs/>
      <w:smallCaps/>
      <w:color w:val="auto"/>
      <w:u w:val="single"/>
    </w:rPr>
  </w:style>
  <w:style w:type="character" w:styleId="Ttulodellibro">
    <w:name w:val="Book Title"/>
    <w:basedOn w:val="Fuentedeprrafopredeter"/>
    <w:uiPriority w:val="33"/>
    <w:qFormat/>
    <w:rsid w:val="005752D6"/>
    <w:rPr>
      <w:b/>
      <w:bCs/>
      <w:smallCaps/>
      <w:color w:val="auto"/>
    </w:rPr>
  </w:style>
  <w:style w:type="paragraph" w:styleId="TtuloTDC">
    <w:name w:val="TOC Heading"/>
    <w:basedOn w:val="Ttulo1"/>
    <w:next w:val="Normal"/>
    <w:uiPriority w:val="39"/>
    <w:semiHidden/>
    <w:unhideWhenUsed/>
    <w:qFormat/>
    <w:rsid w:val="005752D6"/>
    <w:pPr>
      <w:outlineLvl w:val="9"/>
    </w:pPr>
  </w:style>
  <w:style w:type="character" w:styleId="Hipervnculovisitado">
    <w:name w:val="FollowedHyperlink"/>
    <w:rsid w:val="00AA05D4"/>
    <w:rPr>
      <w:color w:val="800080"/>
      <w:u w:val="single"/>
    </w:rPr>
  </w:style>
  <w:style w:type="paragraph" w:styleId="Textoindependiente">
    <w:name w:val="Body Text"/>
    <w:basedOn w:val="Normal"/>
    <w:link w:val="TextoindependienteCar"/>
    <w:rsid w:val="00AA05D4"/>
    <w:pPr>
      <w:jc w:val="center"/>
    </w:pPr>
    <w:rPr>
      <w:b/>
      <w:sz w:val="40"/>
    </w:rPr>
  </w:style>
  <w:style w:type="character" w:customStyle="1" w:styleId="TextoindependienteCar">
    <w:name w:val="Texto independiente Car"/>
    <w:basedOn w:val="Fuentedeprrafopredeter"/>
    <w:link w:val="Textoindependiente"/>
    <w:rsid w:val="00FB7CC5"/>
    <w:rPr>
      <w:rFonts w:ascii="Times" w:eastAsia="Times New Roman" w:hAnsi="Times" w:cs="Times New Roman"/>
      <w:b/>
      <w:sz w:val="40"/>
      <w:szCs w:val="20"/>
      <w:lang w:val="en-US"/>
    </w:rPr>
  </w:style>
  <w:style w:type="paragraph" w:styleId="Textonotapie">
    <w:name w:val="footnote text"/>
    <w:basedOn w:val="Normal"/>
    <w:next w:val="TFReferencesSection"/>
    <w:link w:val="TextonotapieCar"/>
    <w:semiHidden/>
    <w:rsid w:val="00AA05D4"/>
  </w:style>
  <w:style w:type="character" w:customStyle="1" w:styleId="TextonotapieCar">
    <w:name w:val="Texto nota pie Car"/>
    <w:basedOn w:val="Fuentedeprrafopredeter"/>
    <w:link w:val="Textonotapie"/>
    <w:semiHidden/>
    <w:rsid w:val="00FB7CC5"/>
    <w:rPr>
      <w:rFonts w:ascii="Times" w:eastAsia="Times New Roman" w:hAnsi="Times" w:cs="Times New Roman"/>
      <w:sz w:val="24"/>
      <w:szCs w:val="20"/>
      <w:lang w:val="en-US"/>
    </w:rPr>
  </w:style>
  <w:style w:type="paragraph" w:customStyle="1" w:styleId="TFReferencesSection">
    <w:name w:val="TF_References_Section"/>
    <w:basedOn w:val="Normal"/>
    <w:rsid w:val="00AA05D4"/>
    <w:pPr>
      <w:spacing w:line="480" w:lineRule="auto"/>
      <w:ind w:firstLine="187"/>
    </w:pPr>
  </w:style>
  <w:style w:type="paragraph" w:customStyle="1" w:styleId="TAMainText">
    <w:name w:val="TA_Main_Text"/>
    <w:basedOn w:val="Normal"/>
    <w:rsid w:val="00AA05D4"/>
    <w:pPr>
      <w:spacing w:after="0" w:line="480" w:lineRule="auto"/>
      <w:ind w:firstLine="202"/>
    </w:pPr>
  </w:style>
  <w:style w:type="paragraph" w:customStyle="1" w:styleId="BATitle">
    <w:name w:val="BA_Title"/>
    <w:basedOn w:val="Normal"/>
    <w:next w:val="BBAuthorName"/>
    <w:rsid w:val="00AA05D4"/>
    <w:pPr>
      <w:spacing w:before="720" w:after="360" w:line="480" w:lineRule="auto"/>
      <w:jc w:val="center"/>
    </w:pPr>
    <w:rPr>
      <w:rFonts w:ascii="Times New Roman" w:hAnsi="Times New Roman"/>
      <w:sz w:val="44"/>
    </w:rPr>
  </w:style>
  <w:style w:type="paragraph" w:customStyle="1" w:styleId="BBAuthorName">
    <w:name w:val="BB_Author_Name"/>
    <w:basedOn w:val="Normal"/>
    <w:next w:val="BCAuthorAddress"/>
    <w:rsid w:val="00AA05D4"/>
    <w:pPr>
      <w:spacing w:after="240" w:line="480" w:lineRule="auto"/>
      <w:jc w:val="center"/>
    </w:pPr>
    <w:rPr>
      <w:i/>
    </w:rPr>
  </w:style>
  <w:style w:type="paragraph" w:customStyle="1" w:styleId="BCAuthorAddress">
    <w:name w:val="BC_Author_Address"/>
    <w:basedOn w:val="Normal"/>
    <w:next w:val="BIEmailAddress"/>
    <w:rsid w:val="00AA05D4"/>
    <w:pPr>
      <w:spacing w:after="240" w:line="480" w:lineRule="auto"/>
      <w:jc w:val="center"/>
    </w:pPr>
  </w:style>
  <w:style w:type="paragraph" w:customStyle="1" w:styleId="BIEmailAddress">
    <w:name w:val="BI_Email_Address"/>
    <w:basedOn w:val="Normal"/>
    <w:next w:val="AIReceivedDate"/>
    <w:rsid w:val="00AA05D4"/>
    <w:pPr>
      <w:spacing w:line="480" w:lineRule="auto"/>
    </w:pPr>
  </w:style>
  <w:style w:type="paragraph" w:customStyle="1" w:styleId="AIReceivedDate">
    <w:name w:val="AI_Received_Date"/>
    <w:basedOn w:val="Normal"/>
    <w:next w:val="BDAbstract"/>
    <w:rsid w:val="00AA05D4"/>
    <w:pPr>
      <w:spacing w:after="240" w:line="480" w:lineRule="auto"/>
    </w:pPr>
    <w:rPr>
      <w:b/>
    </w:rPr>
  </w:style>
  <w:style w:type="paragraph" w:customStyle="1" w:styleId="BDAbstract">
    <w:name w:val="BD_Abstract"/>
    <w:basedOn w:val="Normal"/>
    <w:next w:val="TAMainText"/>
    <w:rsid w:val="00AA05D4"/>
    <w:pPr>
      <w:spacing w:before="360" w:after="360" w:line="480" w:lineRule="auto"/>
    </w:pPr>
  </w:style>
  <w:style w:type="paragraph" w:customStyle="1" w:styleId="TDAcknowledgments">
    <w:name w:val="TD_Acknowledgments"/>
    <w:basedOn w:val="Normal"/>
    <w:next w:val="Normal"/>
    <w:rsid w:val="00AA05D4"/>
    <w:pPr>
      <w:spacing w:before="200" w:line="480" w:lineRule="auto"/>
      <w:ind w:firstLine="202"/>
    </w:pPr>
  </w:style>
  <w:style w:type="paragraph" w:customStyle="1" w:styleId="TESupportingInformation">
    <w:name w:val="TE_Supporting_Information"/>
    <w:basedOn w:val="Normal"/>
    <w:next w:val="Normal"/>
    <w:rsid w:val="00AA05D4"/>
    <w:pPr>
      <w:spacing w:line="480" w:lineRule="auto"/>
      <w:ind w:firstLine="187"/>
    </w:pPr>
  </w:style>
  <w:style w:type="paragraph" w:customStyle="1" w:styleId="VCSchemeTitle">
    <w:name w:val="VC_Scheme_Title"/>
    <w:basedOn w:val="Normal"/>
    <w:next w:val="Normal"/>
    <w:rsid w:val="00AA05D4"/>
    <w:pPr>
      <w:spacing w:line="480" w:lineRule="auto"/>
    </w:pPr>
  </w:style>
  <w:style w:type="paragraph" w:customStyle="1" w:styleId="VDTableTitle">
    <w:name w:val="VD_Table_Title"/>
    <w:basedOn w:val="Normal"/>
    <w:next w:val="Normal"/>
    <w:rsid w:val="00AA05D4"/>
    <w:pPr>
      <w:spacing w:line="480" w:lineRule="auto"/>
    </w:pPr>
  </w:style>
  <w:style w:type="paragraph" w:customStyle="1" w:styleId="VAFigureCaption">
    <w:name w:val="VA_Figure_Caption"/>
    <w:basedOn w:val="Normal"/>
    <w:next w:val="Normal"/>
    <w:rsid w:val="00AA05D4"/>
    <w:pPr>
      <w:spacing w:line="480" w:lineRule="auto"/>
    </w:pPr>
  </w:style>
  <w:style w:type="paragraph" w:customStyle="1" w:styleId="VBChartTitle">
    <w:name w:val="VB_Chart_Title"/>
    <w:basedOn w:val="Normal"/>
    <w:next w:val="Normal"/>
    <w:rsid w:val="00AA05D4"/>
    <w:pPr>
      <w:spacing w:line="480" w:lineRule="auto"/>
    </w:pPr>
  </w:style>
  <w:style w:type="paragraph" w:customStyle="1" w:styleId="FETableFootnote">
    <w:name w:val="FE_Table_Footnote"/>
    <w:basedOn w:val="Normal"/>
    <w:next w:val="Normal"/>
    <w:rsid w:val="00AA05D4"/>
    <w:pPr>
      <w:ind w:firstLine="187"/>
    </w:pPr>
  </w:style>
  <w:style w:type="paragraph" w:customStyle="1" w:styleId="FCChartFootnote">
    <w:name w:val="FC_Chart_Footnote"/>
    <w:basedOn w:val="Normal"/>
    <w:next w:val="Normal"/>
    <w:rsid w:val="00AA05D4"/>
    <w:pPr>
      <w:ind w:firstLine="187"/>
    </w:pPr>
  </w:style>
  <w:style w:type="paragraph" w:customStyle="1" w:styleId="FDSchemeFootnote">
    <w:name w:val="FD_Scheme_Footnote"/>
    <w:basedOn w:val="Normal"/>
    <w:next w:val="Normal"/>
    <w:rsid w:val="00AA05D4"/>
    <w:pPr>
      <w:ind w:firstLine="187"/>
    </w:pPr>
  </w:style>
  <w:style w:type="paragraph" w:customStyle="1" w:styleId="TCTableBody">
    <w:name w:val="TC_Table_Body"/>
    <w:basedOn w:val="Normal"/>
    <w:rsid w:val="00AA05D4"/>
  </w:style>
  <w:style w:type="paragraph" w:customStyle="1" w:styleId="AFTitleRunningHead">
    <w:name w:val="AF_Title_Running_Head"/>
    <w:basedOn w:val="Normal"/>
    <w:next w:val="TAMainText"/>
    <w:rsid w:val="00AA05D4"/>
    <w:pPr>
      <w:spacing w:line="480" w:lineRule="auto"/>
    </w:pPr>
  </w:style>
  <w:style w:type="paragraph" w:customStyle="1" w:styleId="BEAuthorBiography">
    <w:name w:val="BE_Author_Biography"/>
    <w:basedOn w:val="Normal"/>
    <w:rsid w:val="00AA05D4"/>
    <w:pPr>
      <w:spacing w:line="480" w:lineRule="auto"/>
    </w:pPr>
  </w:style>
  <w:style w:type="paragraph" w:customStyle="1" w:styleId="FACorrespondingAuthorFootnote">
    <w:name w:val="FA_Corresponding_Author_Footnote"/>
    <w:basedOn w:val="Normal"/>
    <w:next w:val="TAMainText"/>
    <w:rsid w:val="00AA05D4"/>
    <w:pPr>
      <w:spacing w:line="480" w:lineRule="auto"/>
    </w:pPr>
  </w:style>
  <w:style w:type="paragraph" w:customStyle="1" w:styleId="SNSynopsisTOC">
    <w:name w:val="SN_Synopsis_TOC"/>
    <w:basedOn w:val="Normal"/>
    <w:rsid w:val="00AA05D4"/>
    <w:pPr>
      <w:spacing w:line="480" w:lineRule="auto"/>
    </w:pPr>
  </w:style>
  <w:style w:type="paragraph" w:styleId="Piedepgina">
    <w:name w:val="footer"/>
    <w:basedOn w:val="Normal"/>
    <w:link w:val="PiedepginaCar"/>
    <w:rsid w:val="00AA05D4"/>
    <w:pPr>
      <w:tabs>
        <w:tab w:val="center" w:pos="4320"/>
        <w:tab w:val="right" w:pos="8640"/>
      </w:tabs>
    </w:pPr>
  </w:style>
  <w:style w:type="character" w:customStyle="1" w:styleId="PiedepginaCar">
    <w:name w:val="Pie de página Car"/>
    <w:basedOn w:val="Fuentedeprrafopredeter"/>
    <w:link w:val="Piedepgina"/>
    <w:rsid w:val="00FB7CC5"/>
    <w:rPr>
      <w:rFonts w:ascii="Times" w:eastAsia="Times New Roman" w:hAnsi="Times" w:cs="Times New Roman"/>
      <w:sz w:val="24"/>
      <w:szCs w:val="20"/>
      <w:lang w:val="en-US"/>
    </w:rPr>
  </w:style>
  <w:style w:type="paragraph" w:customStyle="1" w:styleId="BGKeywords">
    <w:name w:val="BG_Keywords"/>
    <w:basedOn w:val="Normal"/>
    <w:rsid w:val="00AA05D4"/>
    <w:pPr>
      <w:spacing w:line="480" w:lineRule="auto"/>
    </w:pPr>
  </w:style>
  <w:style w:type="paragraph" w:customStyle="1" w:styleId="BHBriefs">
    <w:name w:val="BH_Briefs"/>
    <w:basedOn w:val="Normal"/>
    <w:rsid w:val="00AA05D4"/>
    <w:pPr>
      <w:spacing w:line="480" w:lineRule="auto"/>
    </w:pPr>
  </w:style>
  <w:style w:type="character" w:styleId="Nmerodepgina">
    <w:name w:val="page number"/>
    <w:basedOn w:val="Fuentedeprrafopredeter"/>
    <w:rsid w:val="00AA05D4"/>
  </w:style>
  <w:style w:type="paragraph" w:customStyle="1" w:styleId="StyleFACorrespondingAuthorFootnote7pt">
    <w:name w:val="Style FA_Corresponding_Author_Footnote + 7 pt"/>
    <w:basedOn w:val="Normal"/>
    <w:next w:val="BGKeywords"/>
    <w:link w:val="StyleFACorrespondingAuthorFootnote7ptChar"/>
    <w:autoRedefine/>
    <w:rsid w:val="00AA05D4"/>
    <w:pPr>
      <w:spacing w:after="0"/>
      <w:jc w:val="left"/>
    </w:pPr>
    <w:rPr>
      <w:rFonts w:ascii="Arno Pro" w:hAnsi="Arno Pro"/>
      <w:kern w:val="20"/>
      <w:sz w:val="18"/>
    </w:rPr>
  </w:style>
  <w:style w:type="character" w:customStyle="1" w:styleId="StyleFACorrespondingAuthorFootnote7ptChar">
    <w:name w:val="Style FA_Corresponding_Author_Footnote + 7 pt Char"/>
    <w:link w:val="StyleFACorrespondingAuthorFootnote7pt"/>
    <w:rsid w:val="00AA05D4"/>
    <w:rPr>
      <w:rFonts w:ascii="Arno Pro" w:eastAsia="Times New Roman" w:hAnsi="Arno Pro" w:cs="Times New Roman"/>
      <w:kern w:val="20"/>
      <w:sz w:val="18"/>
      <w:szCs w:val="20"/>
      <w:lang w:val="en-US"/>
    </w:rPr>
  </w:style>
  <w:style w:type="paragraph" w:customStyle="1" w:styleId="FAAuthorInfoSubtitle">
    <w:name w:val="FA_Author_Info_Subtitle"/>
    <w:basedOn w:val="Normal"/>
    <w:link w:val="FAAuthorInfoSubtitleChar"/>
    <w:autoRedefine/>
    <w:rsid w:val="00AA05D4"/>
    <w:pPr>
      <w:spacing w:before="120" w:after="60" w:line="480" w:lineRule="auto"/>
      <w:jc w:val="left"/>
    </w:pPr>
    <w:rPr>
      <w:b/>
    </w:rPr>
  </w:style>
  <w:style w:type="character" w:customStyle="1" w:styleId="FAAuthorInfoSubtitleChar">
    <w:name w:val="FA_Author_Info_Subtitle Char"/>
    <w:link w:val="FAAuthorInfoSubtitle"/>
    <w:rsid w:val="00AA05D4"/>
    <w:rPr>
      <w:rFonts w:ascii="Times" w:eastAsia="Times New Roman" w:hAnsi="Times" w:cs="Times New Roman"/>
      <w:b/>
      <w:sz w:val="24"/>
      <w:szCs w:val="20"/>
      <w:lang w:val="en-US"/>
    </w:rPr>
  </w:style>
  <w:style w:type="paragraph" w:customStyle="1" w:styleId="Default">
    <w:name w:val="Default"/>
    <w:rsid w:val="00AA05D4"/>
    <w:pPr>
      <w:autoSpaceDE w:val="0"/>
      <w:autoSpaceDN w:val="0"/>
      <w:adjustRightInd w:val="0"/>
      <w:spacing w:after="0" w:line="240" w:lineRule="auto"/>
      <w:jc w:val="left"/>
    </w:pPr>
    <w:rPr>
      <w:rFonts w:ascii="Symbol" w:eastAsia="Times New Roman" w:hAnsi="Symbol" w:cs="Symbol"/>
      <w:color w:val="000000"/>
      <w:sz w:val="24"/>
      <w:szCs w:val="24"/>
      <w:lang w:val="en-US"/>
    </w:rPr>
  </w:style>
  <w:style w:type="paragraph" w:styleId="Encabezado">
    <w:name w:val="header"/>
    <w:basedOn w:val="Normal"/>
    <w:link w:val="EncabezadoCar"/>
    <w:uiPriority w:val="99"/>
    <w:unhideWhenUsed/>
    <w:rsid w:val="0036499D"/>
    <w:pPr>
      <w:tabs>
        <w:tab w:val="center" w:pos="4252"/>
        <w:tab w:val="right" w:pos="8504"/>
      </w:tabs>
      <w:spacing w:after="0"/>
    </w:pPr>
  </w:style>
  <w:style w:type="character" w:customStyle="1" w:styleId="EncabezadoCar">
    <w:name w:val="Encabezado Car"/>
    <w:basedOn w:val="Fuentedeprrafopredeter"/>
    <w:link w:val="Encabezado"/>
    <w:uiPriority w:val="99"/>
    <w:rsid w:val="0036499D"/>
    <w:rPr>
      <w:rFonts w:ascii="Times" w:eastAsia="Times New Roman" w:hAnsi="Times" w:cs="Times New Roman"/>
      <w:sz w:val="24"/>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fatima.charrier@univ-pau.fr" TargetMode="External"/><Relationship Id="rId13" Type="http://schemas.openxmlformats.org/officeDocument/2006/relationships/image" Target="media/image4.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tif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f"/><Relationship Id="rId5" Type="http://schemas.openxmlformats.org/officeDocument/2006/relationships/webSettings" Target="webSettings.xml"/><Relationship Id="rId15" Type="http://schemas.openxmlformats.org/officeDocument/2006/relationships/image" Target="media/image6.tiff"/><Relationship Id="rId10" Type="http://schemas.openxmlformats.org/officeDocument/2006/relationships/image" Target="media/image1.tif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781281\AppData\Roaming\Microsoft\Plantillas\acstemplate_msw2010%20(1).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F90388-7B0C-4134-9F4E-E228DC06AA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acstemplate_msw2010 (1).dotx</Template>
  <TotalTime>14</TotalTime>
  <Pages>46</Pages>
  <Words>33161</Words>
  <Characters>182390</Characters>
  <Application>Microsoft Office Word</Application>
  <DocSecurity>0</DocSecurity>
  <Lines>1519</Lines>
  <Paragraphs>430</Paragraphs>
  <ScaleCrop>false</ScaleCrop>
  <HeadingPairs>
    <vt:vector size="2" baseType="variant">
      <vt:variant>
        <vt:lpstr>Título</vt:lpstr>
      </vt:variant>
      <vt:variant>
        <vt:i4>1</vt:i4>
      </vt:variant>
    </vt:vector>
  </HeadingPairs>
  <TitlesOfParts>
    <vt:vector size="1" baseType="lpstr">
      <vt:lpstr/>
    </vt:vector>
  </TitlesOfParts>
  <Company>UPV/EHU</Company>
  <LinksUpToDate>false</LinksUpToDate>
  <CharactersWithSpaces>215121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Pedro Luis DE HOYOS</dc:creator>
  <cp:keywords/>
  <dc:description/>
  <cp:lastModifiedBy>Pedro Luis DE HOYOS</cp:lastModifiedBy>
  <cp:revision>9</cp:revision>
  <dcterms:created xsi:type="dcterms:W3CDTF">2020-10-12T01:58:00Z</dcterms:created>
  <dcterms:modified xsi:type="dcterms:W3CDTF">2020-10-12T02:12:00Z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http://www.zotero.org/styles/acs-sustainable-chemistry-and-engineering</vt:lpwstr>
  </property>
  <property fmtid="{D5CDD505-2E9C-101B-9397-08002B2CF9AE}" pid="3" name="Mendeley Recent Style Name 0_1">
    <vt:lpwstr>ACS Sustainable Chemistry &amp; Engineering</vt:lpwstr>
  </property>
  <property fmtid="{D5CDD505-2E9C-101B-9397-08002B2CF9AE}" pid="4" name="Mendeley Recent Style Id 1_1">
    <vt:lpwstr>http://www.zotero.org/styles/american-medical-association</vt:lpwstr>
  </property>
  <property fmtid="{D5CDD505-2E9C-101B-9397-08002B2CF9AE}" pid="5" name="Mendeley Recent Style Name 1_1">
    <vt:lpwstr>American Medical Association</vt:lpwstr>
  </property>
  <property fmtid="{D5CDD505-2E9C-101B-9397-08002B2CF9AE}" pid="6" name="Mendeley Recent Style Id 2_1">
    <vt:lpwstr>http://www.zotero.org/styles/american-political-science-association</vt:lpwstr>
  </property>
  <property fmtid="{D5CDD505-2E9C-101B-9397-08002B2CF9AE}" pid="7" name="Mendeley Recent Style Name 2_1">
    <vt:lpwstr>American Political Science Association</vt:lpwstr>
  </property>
  <property fmtid="{D5CDD505-2E9C-101B-9397-08002B2CF9AE}" pid="8" name="Mendeley Recent Style Id 3_1">
    <vt:lpwstr>http://www.zotero.org/styles/apa</vt:lpwstr>
  </property>
  <property fmtid="{D5CDD505-2E9C-101B-9397-08002B2CF9AE}" pid="9" name="Mendeley Recent Style Name 3_1">
    <vt:lpwstr>American Psychological Association 6th edition</vt:lpwstr>
  </property>
  <property fmtid="{D5CDD505-2E9C-101B-9397-08002B2CF9AE}" pid="10" name="Mendeley Recent Style Id 4_1">
    <vt:lpwstr>http://www.zotero.org/styles/american-sociological-association</vt:lpwstr>
  </property>
  <property fmtid="{D5CDD505-2E9C-101B-9397-08002B2CF9AE}" pid="11" name="Mendeley Recent Style Name 4_1">
    <vt:lpwstr>American Sociological Association</vt:lpwstr>
  </property>
  <property fmtid="{D5CDD505-2E9C-101B-9397-08002B2CF9AE}" pid="12" name="Mendeley Recent Style Id 5_1">
    <vt:lpwstr>http://www.zotero.org/styles/biomacromolecules</vt:lpwstr>
  </property>
  <property fmtid="{D5CDD505-2E9C-101B-9397-08002B2CF9AE}" pid="13" name="Mendeley Recent Style Name 5_1">
    <vt:lpwstr>Biomacromolecules</vt:lpwstr>
  </property>
  <property fmtid="{D5CDD505-2E9C-101B-9397-08002B2CF9AE}" pid="14" name="Mendeley Recent Style Id 6_1">
    <vt:lpwstr>http://www.zotero.org/styles/colloids-and-surfaces-a-physicochemical-and-engineering-aspects</vt:lpwstr>
  </property>
  <property fmtid="{D5CDD505-2E9C-101B-9397-08002B2CF9AE}" pid="15" name="Mendeley Recent Style Name 6_1">
    <vt:lpwstr>Colloids and Surfaces A: Physicochemical and Engineering Aspects</vt:lpwstr>
  </property>
  <property fmtid="{D5CDD505-2E9C-101B-9397-08002B2CF9AE}" pid="16" name="Mendeley Recent Style Id 7_1">
    <vt:lpwstr>http://www.zotero.org/styles/elsevier-vancouver</vt:lpwstr>
  </property>
  <property fmtid="{D5CDD505-2E9C-101B-9397-08002B2CF9AE}" pid="17" name="Mendeley Recent Style Name 7_1">
    <vt:lpwstr>Elsevier - Vancouver</vt:lpwstr>
  </property>
  <property fmtid="{D5CDD505-2E9C-101B-9397-08002B2CF9AE}" pid="18" name="Mendeley Recent Style Id 8_1">
    <vt:lpwstr>http://www.zotero.org/styles/ieee</vt:lpwstr>
  </property>
  <property fmtid="{D5CDD505-2E9C-101B-9397-08002B2CF9AE}" pid="19" name="Mendeley Recent Style Name 8_1">
    <vt:lpwstr>IEEE</vt:lpwstr>
  </property>
  <property fmtid="{D5CDD505-2E9C-101B-9397-08002B2CF9AE}" pid="20" name="Mendeley Recent Style Id 9_1">
    <vt:lpwstr>http://www.zotero.org/styles/industrial-crops-and-products</vt:lpwstr>
  </property>
  <property fmtid="{D5CDD505-2E9C-101B-9397-08002B2CF9AE}" pid="21" name="Mendeley Recent Style Name 9_1">
    <vt:lpwstr>Industrial Crops &amp; Products</vt:lpwstr>
  </property>
  <property fmtid="{D5CDD505-2E9C-101B-9397-08002B2CF9AE}" pid="22" name="Mendeley Document_1">
    <vt:lpwstr>True</vt:lpwstr>
  </property>
  <property fmtid="{D5CDD505-2E9C-101B-9397-08002B2CF9AE}" pid="23" name="Mendeley Citation Style_1">
    <vt:lpwstr>http://www.zotero.org/styles/acs-sustainable-chemistry-and-engineering</vt:lpwstr>
  </property>
  <property fmtid="{D5CDD505-2E9C-101B-9397-08002B2CF9AE}" pid="24" name="Mendeley Unique User Id_1">
    <vt:lpwstr>6739e8bd-ae4a-3b65-bf3f-b8857cb61767</vt:lpwstr>
  </property>
</Properties>
</file>